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</w:p>
    <w:p>
      <w:pPr>
        <w:pStyle w:val="FirstParagraph"/>
      </w:pPr>
      <w:r>
        <w:t xml:space="preserve">When we ask for the complete object, the target forecast is returned together</w:t>
      </w:r>
      <w:r>
        <w:t xml:space="preserve"> </w:t>
      </w:r>
      <w:r>
        <w:t xml:space="preserve">with the auxiliary values that were used in the horizon.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[1]  0.41161932  0.17404351 -0.07477247 -0.31935845 -0.44889824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$x$x1</w:t>
      </w:r>
      <w:r>
        <w:br/>
      </w:r>
      <w:r>
        <w:rPr>
          <w:rStyle w:val="VerbatimChar"/>
        </w:rPr>
        <w:t xml:space="preserve">## [1]  0.17388949 -0.07515112 -0.31951919 -0.54402111 -0.54402111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2026-05-18T21:02:59Z</dcterms:created>
  <dcterms:modified xsi:type="dcterms:W3CDTF">2026-05-18T21:02:59Z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