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hrink-augmentation"/>
    <w:p>
      <w:pPr>
        <w:pStyle w:val="Heading2"/>
      </w:pPr>
      <w:r>
        <w:t xml:space="preserve">Shrink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Shrink augmentation compresses the variation inside each window.</w:t>
      </w:r>
      <w:r>
        <w:t xml:space="preserve"> </w:t>
      </w:r>
      <w:r>
        <w:t xml:space="preserve">- This produces smoother versions of the original pattern and can help the model become robust to amplitude changes.</w:t>
      </w:r>
    </w:p>
    <w:p>
      <w:pPr>
        <w:pStyle w:val="BodyText"/>
      </w:pPr>
      <w:r>
        <w:t xml:space="preserve">Didactic goal: compare milder synthetic windows with the original observations and with other augmentation schemes.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shrink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(shrink).</w:t>
      </w:r>
    </w:p>
    <w:p>
      <w:pPr>
        <w:pStyle w:val="SourceCode"/>
      </w:pPr>
      <w:r>
        <w:rPr>
          <w:rStyle w:val="CommentTok"/>
        </w:rPr>
        <w:t xml:space="preserve"># Augmentation (shrink)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ts_aug_shrink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5-shrink-augmentation_files/16bc19cca180eae920e9a690f38f8366d6039a3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2026-05-19T15:50:08Z</dcterms:created>
  <dcterms:modified xsi:type="dcterms:W3CDTF">2026-05-19T15:50:08Z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