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m4</w:t>
      </w:r>
      <w:r>
        <w:t xml:space="preserve">, the fourth Makridakis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nested-list structure keyed by frequency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m4</w:t>
      </w:r>
    </w:p>
    <w:p>
      <w:pPr>
        <w:pStyle w:val="Compact"/>
        <w:numPr>
          <w:ilvl w:val="0"/>
          <w:numId w:val="1001"/>
        </w:numPr>
      </w:pPr>
      <w:r>
        <w:t xml:space="preserve">inspect the available frequency groups</w:t>
      </w:r>
    </w:p>
    <w:p>
      <w:pPr>
        <w:pStyle w:val="Compact"/>
        <w:numPr>
          <w:ilvl w:val="0"/>
          <w:numId w:val="1001"/>
        </w:numPr>
      </w:pPr>
      <w:r>
        <w:t xml:space="preserve">preview one representative series</w:t>
      </w:r>
    </w:p>
    <w:p>
      <w:pPr>
        <w:pStyle w:val="Compact"/>
        <w:numPr>
          <w:ilvl w:val="0"/>
          <w:numId w:val="1001"/>
        </w:numPr>
      </w:pPr>
      <w:r>
        <w:t xml:space="preserve">plot a sample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(m4)</w:t>
      </w:r>
      <w:r>
        <w:br/>
      </w:r>
      <w:r>
        <w:rPr>
          <w:rStyle w:val="NormalTok"/>
        </w:rPr>
        <w:t xml:space="preserve">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(m4)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m4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m4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"Frequency groups:"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(m4),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Frequency groups: hourly, quarterly, weekly, yearly</w:t>
      </w:r>
    </w:p>
    <w:p>
      <w:pPr>
        <w:pStyle w:val="SourceCode"/>
      </w:pPr>
      <w:r>
        <w:rPr>
          <w:rStyle w:val="NormalTok"/>
        </w:rPr>
        <w:t xml:space="preserve">first_group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(m4)[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(m4[[first_group]])[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m4[[first_group]][[first_name]]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[1] 605 586 586 559 511 443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"m4"</w:t>
      </w:r>
      <w:r>
        <w:rPr>
          <w:rStyle w:val="NormalTok"/>
        </w:rPr>
        <w:t xml:space="preserve">, first_group, first_name))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19-m4_files/1648235d93028fd83e115bd1015b6ac5d891207f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Makridakis et al. (2020). The M4 Competition: Results, findings, conclusion and way forward.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2026-05-19T15:52:05Z</dcterms:created>
  <dcterms:modified xsi:type="dcterms:W3CDTF">2026-05-19T15:52:05Z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