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7a45050c61803366a4cf7526ebcc27ab462534"/>
    <w:p>
      <w:pPr>
        <w:pStyle w:val="Heading2"/>
      </w:pPr>
      <w:r>
        <w:t xml:space="preserve">Stock Closing-Price Forecasting with ELM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.</w:t>
      </w:r>
    </w:p>
    <w:p>
      <w:pPr>
        <w:pStyle w:val="BodyText"/>
      </w:pPr>
      <w:r>
        <w:t xml:space="preserve">Didactic goal: inspect how an Extreme Learning Machine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ELM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86.41966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86.41966 85.24063 85.25934 86.01987 85.41508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84.32772 85.60432 86.04642 85.26371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 86.73072 86.82925 87.49822 87.31617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 83.29218 84.12658 84.58520 84.12063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 31997116 31717283 29415006 26845862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5.863566 0.02352557 -1.77597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5-stock-close-elm-regression_files/bb6febf73389bc235fd1200b47fae23e3b828cc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2026-05-19T15:56:23Z</dcterms:created>
  <dcterms:modified xsi:type="dcterms:W3CDTF">2026-05-19T15:56:23Z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