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liding-window-min-max-normalization"/>
    <w:p>
      <w:pPr>
        <w:pStyle w:val="Heading2"/>
      </w:pPr>
      <w:r>
        <w:t xml:space="preserve">Sliding-Window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This strategy normalizes each window with its own local minimum and maximum.</w:t>
      </w:r>
    </w:p>
    <w:p>
      <w:pPr>
        <w:pStyle w:val="Compact"/>
        <w:numPr>
          <w:ilvl w:val="0"/>
          <w:numId w:val="1001"/>
        </w:numPr>
      </w:pPr>
      <w:r>
        <w:t xml:space="preserve">It emphasizes local shape over absolute level, which can help when amplitude varies through time.</w:t>
      </w:r>
    </w:p>
    <w:p>
      <w:pPr>
        <w:pStyle w:val="FirstParagraph"/>
      </w:pPr>
      <w:r>
        <w:t xml:space="preserve">Didactic goal: compare local scaling with global scaling and see what information each one keeps or removes.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3-sliding-window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sliding-window min-max normalization and compare the supervised</w:t>
      </w:r>
      <w:r>
        <w:t xml:space="preserve"> </w:t>
      </w:r>
      <w:r>
        <w:t xml:space="preserve">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3-sliding-window-minmax-normalization_files/28c0fdb360b4c265442e7a5688964e40be84bd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reacts to each local window rather than to one global scale.</w:t>
      </w:r>
    </w:p>
    <w:p>
      <w:pPr>
        <w:pStyle w:val="Compact"/>
        <w:numPr>
          <w:ilvl w:val="0"/>
          <w:numId w:val="1002"/>
        </w:numPr>
      </w:pPr>
      <w:r>
        <w:t xml:space="preserve">Compared with global min-max, this makes local patterns more comparable but removes more absolute-level information.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2026-05-19T15:57:57Z</dcterms:created>
  <dcterms:modified xsi:type="dcterms:W3CDTF">2026-05-19T15:57:57Z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