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aptive-normalization-visual-comparison"/>
    <w:p>
      <w:pPr>
        <w:pStyle w:val="Heading2"/>
      </w:pPr>
      <w:r>
        <w:t xml:space="preserve">Adaptive Normalization Visual Comparison</w:t>
      </w:r>
    </w:p>
    <w:p>
      <w:pPr>
        <w:pStyle w:val="FirstParagraph"/>
      </w:pPr>
      <w:r>
        <w:t xml:space="preserve">This notebook compares the main adaptive normalization operators on synthetic</w:t>
      </w:r>
      <w:r>
        <w:t xml:space="preserve"> </w:t>
      </w:r>
      <w:r>
        <w:t xml:space="preserve">series designed to stress different theoretical axes of the method.</w:t>
      </w:r>
    </w:p>
    <w:p>
      <w:pPr>
        <w:pStyle w:val="BodyText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How divisive normalization reacts when the adaptive level is close to zero</w:t>
      </w:r>
    </w:p>
    <w:p>
      <w:pPr>
        <w:pStyle w:val="Compact"/>
        <w:numPr>
          <w:ilvl w:val="0"/>
          <w:numId w:val="1001"/>
        </w:numPr>
      </w:pPr>
      <w:r>
        <w:t xml:space="preserve">How subtractive normalization behaves under changing amplitude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interpolates between additive and relative behavior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changes the geometry of local deviations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Normalization Visual Comparison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build four synthetic series, each emphasizing one regime where the</w:t>
      </w:r>
      <w:r>
        <w:t xml:space="preserve"> </w:t>
      </w:r>
      <w:r>
        <w:t xml:space="preserve">normalizers behave differently.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near_zero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heteroscedastic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mixed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)</w:t>
      </w:r>
    </w:p>
    <w:bookmarkEnd w:id="9"/>
    <w:bookmarkStart w:id="19" w:name="comparison-strategy"/>
    <w:p>
      <w:pPr>
        <w:pStyle w:val="Heading2"/>
      </w:pPr>
      <w:r>
        <w:t xml:space="preserve">Comparison Strategy</w:t>
      </w:r>
    </w:p>
    <w:p>
      <w:pPr>
        <w:pStyle w:val="FirstParagraph"/>
      </w:pPr>
      <w:r>
        <w:t xml:space="preserve">To keep the comparison fair, every operator uses the same sliding-window view.</w:t>
      </w:r>
      <w:r>
        <w:t xml:space="preserve"> </w:t>
      </w:r>
      <w:r>
        <w:t xml:space="preserve">We inspect the operators in two complementary ways:</w:t>
      </w:r>
    </w:p>
    <w:p>
      <w:pPr>
        <w:pStyle w:val="Compact"/>
        <w:numPr>
          <w:ilvl w:val="0"/>
          <w:numId w:val="1002"/>
        </w:numPr>
      </w:pPr>
      <w:r>
        <w:t xml:space="preserve">a fixed anchor window, so we can compare the transformed lag profile directly</w:t>
      </w:r>
    </w:p>
    <w:p>
      <w:pPr>
        <w:pStyle w:val="Compact"/>
        <w:numPr>
          <w:ilvl w:val="0"/>
          <w:numId w:val="1002"/>
        </w:numPr>
      </w:pPr>
      <w:r>
        <w:t xml:space="preserve">the transformed target dimension (</w:t>
      </w:r>
      <w:r>
        <w:rPr>
          <w:rStyle w:val="VerbatimChar"/>
        </w:rPr>
        <w:t xml:space="preserve">t0</w:t>
      </w:r>
      <w:r>
        <w:t xml:space="preserve">) across time, which is the signal most</w:t>
      </w:r>
      <w:r>
        <w:t xml:space="preserve"> </w:t>
      </w:r>
      <w:r>
        <w:t xml:space="preserve">directly consumed by the supervised pipeline</w:t>
      </w:r>
    </w:p>
    <w:p>
      <w:pPr>
        <w:pStyle w:val="FirstParagraph"/>
      </w:pPr>
      <w:r>
        <w:t xml:space="preserve">This separation matters. If we only plot the transformed target across time,</w:t>
      </w:r>
      <w:r>
        <w:t xml:space="preserve"> </w:t>
      </w:r>
      <w:r>
        <w:t xml:space="preserve">the comparison becomes hard to read because each operator is reacting to a</w:t>
      </w:r>
      <w:r>
        <w:t xml:space="preserve"> </w:t>
      </w:r>
      <w:r>
        <w:t xml:space="preserve">different local window at each time step. The anchor-window plot removes this</w:t>
      </w:r>
      <w:r>
        <w:t xml:space="preserve"> </w:t>
      </w:r>
      <w:r>
        <w:t xml:space="preserve">confounding factor and answers a simpler question: how do the operators</w:t>
      </w:r>
      <w:r>
        <w:t xml:space="preserve"> </w:t>
      </w:r>
      <w:r>
        <w:t xml:space="preserve">transform the same local pattern?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"divide"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subtract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softdivide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asinh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compute_reference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"compute_adaptive_reference"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apply_operation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"apply_adaptive_operation"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anchor_row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tsw)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(series_name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"level_shift"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anchor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anchor_row</w:t>
      </w:r>
      <w:r>
        <w:rPr>
          <w:rStyle w:val="NormalTok"/>
        </w:rPr>
        <w:t xml:space="preserve">(series_name, tsw)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(ops[[op_name]], tsw)</w:t>
      </w:r>
      <w:r>
        <w:br/>
      </w:r>
      <w:r>
        <w:rPr>
          <w:rStyle w:val="NormalTok"/>
        </w:rPr>
        <w:t xml:space="preserve">    window_ref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compute_reference</w:t>
      </w:r>
      <w:r>
        <w:rPr>
          <w:rStyle w:val="NormalTok"/>
        </w:rPr>
        <w:t xml:space="preserve">(preproc,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yw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apply_operation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preproc,</w:t>
      </w:r>
      <w:r>
        <w:br/>
      </w:r>
      <w:r>
        <w:rPr>
          <w:rStyle w:val="NormalTok"/>
        </w:rPr>
        <w:t xml:space="preserve">     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center,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collect_t0_transforms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ops[[op_name]]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(yt)]),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(collect_window_profiles,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(collect_t0_transforms,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compares one fixed window per series. It is the clearest way to see</w:t>
      </w:r>
      <w:r>
        <w:t xml:space="preserve"> </w:t>
      </w:r>
      <w:r>
        <w:t xml:space="preserve">how each operator transforms the same lag profile.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(window_profiles,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9-adaptive-normalization-comparison_files/31cb5fee2e5703e49e88ac61e62d3fac7064411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X4a489b66c20a4702e2b7d0ee698ea5ed8c791e5"/>
    <w:p>
      <w:pPr>
        <w:pStyle w:val="Heading3"/>
      </w:pPr>
      <w:r>
        <w:t xml:space="preserve">What To Look For In The Fixed-Window Plot</w:t>
      </w:r>
    </w:p>
    <w:p>
      <w:pPr>
        <w:pStyle w:val="FirstParagraph"/>
      </w:pPr>
      <w:r>
        <w:rPr>
          <w:b/>
          <w:bCs/>
        </w:rPr>
        <w:t xml:space="preserve">Near-zero regime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can become very aggressive because small adaptive levels amplify the ratio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stays stable because it only removes the local level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should stay closer to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 </w:t>
      </w:r>
      <w:r>
        <w:t xml:space="preserve">here than to</w:t>
      </w:r>
      <w:r>
        <w:t xml:space="preserve"> </w:t>
      </w:r>
      <w:r>
        <w:rPr>
          <w:rStyle w:val="VerbatimChar"/>
        </w:rPr>
        <w:t xml:space="preserve">divide</w:t>
      </w:r>
    </w:p>
    <w:p>
      <w:pPr>
        <w:pStyle w:val="FirstParagraph"/>
      </w:pPr>
      <w:r>
        <w:rPr>
          <w:b/>
          <w:bCs/>
        </w:rPr>
        <w:t xml:space="preserve">Level-shift regime</w:t>
      </w:r>
    </w:p>
    <w:p>
      <w:pPr>
        <w:pStyle w:val="Compact"/>
        <w:numPr>
          <w:ilvl w:val="0"/>
          <w:numId w:val="1004"/>
        </w:numPr>
      </w:pPr>
      <w:r>
        <w:t xml:space="preserve">the main question is how the operators encode an abrupt change in local level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similar if the level term dominates the reference scale</w:t>
      </w:r>
    </w:p>
    <w:p>
      <w:pPr>
        <w:pStyle w:val="FirstParagraph"/>
      </w:pPr>
      <w:r>
        <w:rPr>
          <w:b/>
          <w:bCs/>
        </w:rPr>
        <w:t xml:space="preserve">Heteroscedastic regime</w:t>
      </w:r>
    </w:p>
    <w:p>
      <w:pPr>
        <w:pStyle w:val="Compact"/>
        <w:numPr>
          <w:ilvl w:val="0"/>
          <w:numId w:val="1005"/>
        </w:numPr>
      </w:pPr>
      <w:r>
        <w:t xml:space="preserve">the key question is whether similar oscillations at different amplitudes become more comparable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removes level but does not directly normalize scale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should compress amplitude differences more strongly</w:t>
      </w:r>
    </w:p>
    <w:p>
      <w:pPr>
        <w:pStyle w:val="FirstParagraph"/>
      </w:pPr>
      <w:r>
        <w:rPr>
          <w:b/>
          <w:bCs/>
        </w:rPr>
        <w:t xml:space="preserve">Mixed regime</w:t>
      </w:r>
    </w:p>
    <w:p>
      <w:pPr>
        <w:pStyle w:val="Compact"/>
        <w:numPr>
          <w:ilvl w:val="0"/>
          <w:numId w:val="1006"/>
        </w:numPr>
      </w:pPr>
      <w:r>
        <w:t xml:space="preserve">this combines drift, oscillation, and changing variance</w:t>
      </w:r>
    </w:p>
    <w:p>
      <w:pPr>
        <w:pStyle w:val="Compact"/>
        <w:numPr>
          <w:ilvl w:val="0"/>
          <w:numId w:val="1006"/>
        </w:numPr>
      </w:pPr>
      <w:r>
        <w:t xml:space="preserve">it is the best block to inspect overall trade-offs rather than a single ideal behavior</w:t>
      </w:r>
    </w:p>
    <w:p>
      <w:pPr>
        <w:pStyle w:val="FirstParagraph"/>
      </w:pPr>
      <w:r>
        <w:t xml:space="preserve">This second plot compares the transformed target dimension (</w:t>
      </w:r>
      <w:r>
        <w:rPr>
          <w:rStyle w:val="VerbatimChar"/>
        </w:rPr>
        <w:t xml:space="preserve">t0</w:t>
      </w:r>
      <w:r>
        <w:t xml:space="preserve">) across time.</w:t>
      </w:r>
      <w:r>
        <w:t xml:space="preserve"> </w:t>
      </w:r>
      <w:r>
        <w:t xml:space="preserve">It is still useful, but it becomes easier to read after seeing the fixed-window</w:t>
      </w:r>
      <w:r>
        <w:t xml:space="preserve"> </w:t>
      </w:r>
      <w:r>
        <w:t xml:space="preserve">comparison above.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9-adaptive-normalization-comparison_files/7fc4c75fb491c38d76c31e7600e13ff0f24b7ec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what-to-look-for-in-the-t0-plot"/>
    <w:p>
      <w:pPr>
        <w:pStyle w:val="Heading3"/>
      </w:pPr>
      <w:r>
        <w:t xml:space="preserve">What To Look For In The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Plot</w:t>
      </w:r>
    </w:p>
    <w:p>
      <w:pPr>
        <w:pStyle w:val="Compact"/>
        <w:numPr>
          <w:ilvl w:val="0"/>
          <w:numId w:val="1007"/>
        </w:numPr>
      </w:pPr>
      <w:r>
        <w:t xml:space="preserve">This plot shows how the final supervised target changes over time after normalization.</w:t>
      </w:r>
    </w:p>
    <w:p>
      <w:pPr>
        <w:pStyle w:val="Compact"/>
        <w:numPr>
          <w:ilvl w:val="0"/>
          <w:numId w:val="1007"/>
        </w:numPr>
      </w:pPr>
      <w:r>
        <w:t xml:space="preserve">It is useful for understanding temporal stability, but it is less direct than the fixed-window comparison.</w:t>
      </w:r>
    </w:p>
    <w:p>
      <w:pPr>
        <w:pStyle w:val="Compact"/>
        <w:numPr>
          <w:ilvl w:val="0"/>
          <w:numId w:val="1007"/>
        </w:numPr>
      </w:pPr>
      <w:r>
        <w:t xml:space="preserve">If two operators look close here, that does not necessarily mean they are identical. It may only mean that, for that series and that time range, both induce similar transformed targets.</w:t>
      </w:r>
    </w:p>
    <w:bookmarkEnd w:id="17"/>
    <w:bookmarkStart w:id="18" w:name="why-some-curves-can-look-similar"/>
    <w:p>
      <w:pPr>
        <w:pStyle w:val="Heading3"/>
      </w:pPr>
      <w:r>
        <w:t xml:space="preserve">Why Some Curves Can Look Similar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close when the adaptive level dominates the local scale term. In that regime,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approaches divisive behavior.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can also look close when the normalized deviations stay in a moderate range, because</w:t>
      </w:r>
      <w:r>
        <w:t xml:space="preserve"> </w:t>
      </w:r>
      <w:r>
        <w:rPr>
          <w:rStyle w:val="VerbatimChar"/>
        </w:rPr>
        <w:t xml:space="preserve">asinh(z)</w:t>
      </w:r>
      <w:r>
        <w:t xml:space="preserve"> </w:t>
      </w:r>
      <w:r>
        <w:t xml:space="preserve">behaves almost linearly around the origin.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near_zero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heteroscedastic</w:t>
      </w:r>
      <w:r>
        <w:t xml:space="preserve"> </w:t>
      </w:r>
      <w:r>
        <w:t xml:space="preserve">blocks are usually the most informative ones for separating the four operators visually.</w:t>
      </w:r>
    </w:p>
    <w:bookmarkEnd w:id="18"/>
    <w:bookmarkEnd w:id="19"/>
    <w:bookmarkStart w:id="22" w:name="reading-summary"/>
    <w:p>
      <w:pPr>
        <w:pStyle w:val="Heading2"/>
      </w:pPr>
      <w:r>
        <w:t xml:space="preserve">Reading Summary</w:t>
      </w:r>
    </w:p>
    <w:p>
      <w:pPr>
        <w:pStyle w:val="FirstParagraph"/>
      </w:pPr>
      <w:r>
        <w:t xml:space="preserve">If you want a quick reading of the comparison, focus on these questions:</w:t>
      </w:r>
    </w:p>
    <w:p>
      <w:pPr>
        <w:pStyle w:val="Compact"/>
        <w:numPr>
          <w:ilvl w:val="0"/>
          <w:numId w:val="1009"/>
        </w:numPr>
      </w:pPr>
      <w:r>
        <w:t xml:space="preserve">Which operator stays stable when the local level is close to zero?</w:t>
      </w:r>
    </w:p>
    <w:p>
      <w:pPr>
        <w:pStyle w:val="Compact"/>
        <w:numPr>
          <w:ilvl w:val="0"/>
          <w:numId w:val="1009"/>
        </w:numPr>
      </w:pPr>
      <w:r>
        <w:t xml:space="preserve">Which operator best preserves comparability across changing amplitudes?</w:t>
      </w:r>
    </w:p>
    <w:p>
      <w:pPr>
        <w:pStyle w:val="Compact"/>
        <w:numPr>
          <w:ilvl w:val="0"/>
          <w:numId w:val="1009"/>
        </w:numPr>
      </w:pPr>
      <w:r>
        <w:t xml:space="preserve">Which operator produces the smoothest compromise between additive and relative behavior?</w:t>
      </w:r>
    </w:p>
    <w:p>
      <w:pPr>
        <w:pStyle w:val="FirstParagraph"/>
      </w:pPr>
      <w:r>
        <w:t xml:space="preserve">In most practical cases: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is the safest additive baseline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is the strongest relative normalizer, but it is fragile near zero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is the main compromise operator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asinh</w:t>
      </w:r>
      <w:r>
        <w:t xml:space="preserve"> </w:t>
      </w:r>
      <w:r>
        <w:t xml:space="preserve">is the smooth nonlinear alternative when you want a bridge between additive and multiplicative interpretations</w: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0">
        <w:r>
          <w:rPr>
            <w:rStyle w:val="Hyperlink"/>
          </w:rPr>
          <w:t xml:space="preserve">doi:10.1109/IJCNN.2010.5596746</w:t>
        </w:r>
      </w:hyperlink>
    </w:p>
    <w:p>
      <w:pPr>
        <w:numPr>
          <w:ilvl w:val="0"/>
          <w:numId w:val="1011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21">
        <w:r>
          <w:rPr>
            <w:rStyle w:val="Hyperlink"/>
          </w:rPr>
          <w:t xml:space="preserve">doi:10.1214/aoms/1177703732</w:t>
        </w:r>
      </w:hyperlink>
    </w:p>
    <w:p>
      <w:pPr>
        <w:numPr>
          <w:ilvl w:val="0"/>
          <w:numId w:val="1011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2026-05-19T15:58:13Z</dcterms:created>
  <dcterms:modified xsi:type="dcterms:W3CDTF">2026-05-19T15:58:13Z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