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Flip: Mirrors each window around its local mean (or another central tendency), creating symmetric counterparts of patterns. This expands variability while preserving general energy and timing.</w:t>
      </w:r>
    </w:p>
    <w:p>
      <w:pPr>
        <w:pStyle w:val="BodyText"/>
      </w:pPr>
      <w:r>
        <w:t xml:space="preserve">Objective: Demonstrate flip augmentation (mirror windows around the mean), generating symmetric variations of local patterns.</w:t>
      </w:r>
    </w:p>
    <w:p>
      <w:pPr>
        <w:pStyle w:val="SourceCode"/>
      </w:pPr>
      <w:r>
        <w:rPr>
          <w:rStyle w:val="CommentTok"/>
        </w:rPr>
        <w:t xml:space="preserve"># Time series augmentation - flip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flip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SourceCode"/>
      </w:pPr>
      <w:r>
        <w:rPr>
          <w:rStyle w:val="CommentTok"/>
        </w:rPr>
        <w:t xml:space="preserve"># Augmentation (flip)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ts_aug_flip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SourceCode"/>
      </w:pPr>
      <w:r>
        <w:rPr>
          <w:rStyle w:val="CommentTok"/>
        </w:rPr>
        <w:t xml:space="preserve"># Plot (original vs augmented windows)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xw[,sw_size]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(idx[j]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sw_size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idx[j],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flip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2025-11-08T00:25:04Z</dcterms:created>
  <dcterms:modified xsi:type="dcterms:W3CDTF">2025-11-08T00:25:04Z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