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No augmentation: The identity augmentation passes windows through unchanged. Use it to benchmark the incremental benefit of augmentation strategies.</w:t>
      </w:r>
    </w:p>
    <w:p>
      <w:pPr>
        <w:pStyle w:val="BodyText"/>
      </w:pPr>
      <w:r>
        <w:t xml:space="preserve">Objective: Demonstrate a no-augmentation flow (no changes), keeping the interface and indices for comparisons.</w:t>
      </w:r>
    </w:p>
    <w:p>
      <w:pPr>
        <w:pStyle w:val="SourceCode"/>
      </w:pPr>
      <w:r>
        <w:rPr>
          <w:rStyle w:val="CommentTok"/>
        </w:rPr>
        <w:t xml:space="preserve"># Time series augmentation - none (identity)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SourceCode"/>
      </w:pPr>
      <w:r>
        <w:rPr>
          <w:rStyle w:val="CommentTok"/>
        </w:rPr>
        <w:t xml:space="preserve"># Series for study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none_files/figure-docx/unnamed-chunk-3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</w:p>
    <w:p>
      <w:pPr>
        <w:pStyle w:val="SourceCode"/>
      </w:pPr>
      <w:r>
        <w:rPr>
          <w:rStyle w:val="CommentTok"/>
        </w:rPr>
        <w:t xml:space="preserve"># Augmentation (none)</w:t>
      </w:r>
      <w:r>
        <w:br/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ts_aug_none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xa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(augment, xw)</w:t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(xa,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(xa)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 t1 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 0.9092974 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 0.7780732 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 0.5984721  0.3816610</w:t>
      </w:r>
      <w:r>
        <w:br/>
      </w:r>
      <w:r>
        <w:rPr>
          <w:rStyle w:val="VerbatimChar"/>
        </w:rPr>
        <w:t xml:space="preserve">## [4,] 0.6816388 0.8414710 0.9489846 0.9974950 0.9839859 0.9092974 0.7780732 0.5984721  0.3816610  0.1411200</w:t>
      </w:r>
      <w:r>
        <w:br/>
      </w:r>
      <w:r>
        <w:rPr>
          <w:rStyle w:val="VerbatimChar"/>
        </w:rPr>
        <w:t xml:space="preserve">## [5,] 0.8414710 0.9489846 0.9974950 0.9839859 0.9092974 0.7780732 0.5984721 0.3816610  0.1411200 -0.1081951</w:t>
      </w:r>
      <w:r>
        <w:br/>
      </w:r>
      <w:r>
        <w:rPr>
          <w:rStyle w:val="VerbatimChar"/>
        </w:rPr>
        <w:t xml:space="preserve">## [6,] 0.9489846 0.9974950 0.9839859 0.9092974 0.7780732 0.5984721 0.3816610 0.1411200 -0.1081951 -0.3507832</w:t>
      </w:r>
    </w:p>
    <w:p>
      <w:pPr>
        <w:pStyle w:val="SourceCode"/>
      </w:pPr>
      <w:r>
        <w:rPr>
          <w:rStyle w:val="CommentTok"/>
        </w:rPr>
        <w:t xml:space="preserve"># Plot (original vs augmented windows)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(xw)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xw[,sw_size]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"cosine"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(xa))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(idx[j]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sw_size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idx[j],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xa[j,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sw_size],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tspredit/examples/augment/doc/ts_aug_none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H. I. Fawaz, G. Forestier, J. Weber, L. Idoumghar, and P.-A. Muller (2019). Deep learning for time series classification: A review. Data Mining and Knowledge Discovery, 33, 917–963.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2025-11-08T00:25:06Z</dcterms:created>
  <dcterms:modified xsi:type="dcterms:W3CDTF">2025-11-08T00:25:06Z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