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Adaptive normalization: AN centers and scales each window or time point using time‑varying statistics, typically computed via moving averages or exponentially weighted averages. This mitigates slow level/scale drift so models focus on local shape rather than absolute magnitude.</w:t>
      </w:r>
    </w:p>
    <w:p>
      <w:pPr>
        <w:pStyle w:val="BodyText"/>
      </w:pPr>
      <w:r>
        <w:t xml:space="preserve">Objective: Apply adaptive normalization (moving average/EMA) to handle distribution shifts over time and observe the effect on the target.</w:t>
      </w:r>
    </w:p>
    <w:p>
      <w:pPr>
        <w:pStyle w:val="SourceCode"/>
      </w:pPr>
      <w:r>
        <w:rPr>
          <w:rStyle w:val="CommentTok"/>
        </w:rPr>
        <w:t xml:space="preserve"># Exponential Adaptive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an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CommentTok"/>
        </w:rPr>
        <w:t xml:space="preserve"># Target (t0) visualization after windowing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an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0.1770086 0.2931936 0.4021548 0.4971174 0.5721773 0.6226675 0.6454487 0.6391047 0.6040297 0.5424046</w:t>
      </w:r>
      <w:r>
        <w:br/>
      </w:r>
      <w:r>
        <w:rPr>
          <w:rStyle w:val="VerbatimChar"/>
        </w:rPr>
        <w:t xml:space="preserve">## [2,] 0.2650884 0.3740495 0.4690122 0.5440720 0.5945622 0.6173435 0.6109994 0.5759245 0.5142994 0.4299558</w:t>
      </w:r>
      <w:r>
        <w:br/>
      </w:r>
      <w:r>
        <w:rPr>
          <w:rStyle w:val="VerbatimChar"/>
        </w:rPr>
        <w:t xml:space="preserve">## [3,] 0.3677446 0.4627073 0.5377671 0.5882573 0.6110386 0.6046945 0.5696195 0.5079945 0.4236508 0.3218327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:0.04995  </w:t>
      </w:r>
      <w:r>
        <w:br/>
      </w:r>
      <w:r>
        <w:rPr>
          <w:rStyle w:val="VerbatimChar"/>
        </w:rPr>
        <w:t xml:space="preserve">##  1st Qu.:0.15185  </w:t>
      </w:r>
      <w:r>
        <w:br/>
      </w:r>
      <w:r>
        <w:rPr>
          <w:rStyle w:val="VerbatimChar"/>
        </w:rPr>
        <w:t xml:space="preserve">##  Median :0.41183  </w:t>
      </w:r>
      <w:r>
        <w:br/>
      </w:r>
      <w:r>
        <w:rPr>
          <w:rStyle w:val="VerbatimChar"/>
        </w:rPr>
        <w:t xml:space="preserve">##  Mean   :0.44854  </w:t>
      </w:r>
      <w:r>
        <w:br/>
      </w:r>
      <w:r>
        <w:rPr>
          <w:rStyle w:val="VerbatimChar"/>
        </w:rPr>
        <w:t xml:space="preserve">##  3rd Qu.:0.73197  </w:t>
      </w:r>
      <w:r>
        <w:br/>
      </w:r>
      <w:r>
        <w:rPr>
          <w:rStyle w:val="VerbatimChar"/>
        </w:rPr>
        <w:t xml:space="preserve">##  Max.   :0.94995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spredit/examples/normalization/doc/ts_norm_an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29">
        <w:r>
          <w:rPr>
            <w:rStyle w:val="Hyperlink"/>
          </w:rPr>
          <w:t xml:space="preserve">doi:10.1109/IJCNN.2010.5596746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29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2025-11-08T00:25:35Z</dcterms:created>
  <dcterms:modified xsi:type="dcterms:W3CDTF">2025-11-08T00:25:35Z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