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Support Vector Regression: SVR fits a function that balances flatness with tolerance to errors using the ε-insensitive loss. Kernel functions (e.g., radial basis function) enable nonlinear regression in the sliding-window feature space, where each row encodes the latest lags of the series. Important hyperparameters include the kernel, cost (C), epsilon (ε), and kernel-specific parameters. SVR is robust to outliers and works well with properly scaled inputs.</w:t>
      </w:r>
    </w:p>
    <w:p>
      <w:pPr>
        <w:pStyle w:val="BodyText"/>
      </w:pPr>
      <w:r>
        <w:t xml:space="preserve">Objective: Demonstrate time-series forecasting with SVM (Support Vector Regression) using sliding windows, normalization, model fitting, and evaluation with metrics and plots.</w:t>
      </w:r>
    </w:p>
    <w:p>
      <w:pPr>
        <w:pStyle w:val="SourceCode"/>
      </w:pP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sv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svm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2025-11-08T00:26:36Z</dcterms:created>
  <dcterms:modified xsi:type="dcterms:W3CDTF">2025-11-08T00:26:36Z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