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Time series tuning: Hyperparameter optimization explores a predefined search space to identify configurations that generalize well, typically assessed via cross-validation on the training segment without leaking future information. Searching can be grid- or random-based; for many problems, random search is competitive and simpler. Here, tuning spans both the input window length and the base learner’s key parameters.</w:t>
      </w:r>
    </w:p>
    <w:p>
      <w:pPr>
        <w:pStyle w:val="BodyText"/>
      </w:pPr>
      <w:r>
        <w:t xml:space="preserve">Objective: Perform hyperparameter search (window size and base model parameters) with cross-validation to improve time-series forecasting, and evaluate the result.</w:t>
      </w:r>
    </w:p>
    <w:p>
      <w:pPr>
        <w:pStyle w:val="SourceCode"/>
      </w:pP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tu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3.235577e-30 7.125308e-15  1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   smape   R2</w:t>
      </w:r>
      <w:r>
        <w:br/>
      </w:r>
      <w:r>
        <w:rPr>
          <w:rStyle w:val="VerbatimChar"/>
        </w:rPr>
        <w:t xml:space="preserve">## 1 1.49144e-30 1.232084e-15 -Inf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tune_files/figure-docx/unnamed-chunk-1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maxit=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kernel=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2025-11-08T00:26:44Z</dcterms:created>
  <dcterms:modified xsi:type="dcterms:W3CDTF">2025-11-08T00:26:44Z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