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ild-multivariate-time-series-data"/>
    <w:p>
      <w:pPr>
        <w:pStyle w:val="Heading2"/>
      </w:pPr>
      <w:r>
        <w:t xml:space="preserve">Build Multivariate Time-Series Data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is the multivariate entry point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2.0.</w:t>
      </w:r>
      <w:r>
        <w:t xml:space="preserve"> </w:t>
      </w:r>
      <w:r>
        <w:t xml:space="preserve">- It does not build lagged windows immediately. Its job is to preserve the temporal alignment between the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 the auxiliary variables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.</w:t>
      </w:r>
    </w:p>
    <w:p>
      <w:pPr>
        <w:pStyle w:val="BodyText"/>
      </w:pPr>
      <w:r>
        <w:t xml:space="preserve">Didactic goal: understand how the multivariate workflow starts before any forecasting model is trained.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Build multivariate time-series data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FirstParagraph"/>
      </w:pPr>
      <w:r>
        <w:t xml:space="preserve">We begin by loading the packages used in the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now use package benchmarks already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We extract:</w:t>
      </w:r>
    </w:p>
    <w:p>
      <w:pPr>
        <w:pStyle w:val="Compact"/>
        <w:numPr>
          <w:ilvl w:val="0"/>
          <w:numId w:val="1001"/>
        </w:numPr>
      </w:pPr>
      <w:r>
        <w:t xml:space="preserve">the daily maximum load from</w:t>
      </w:r>
      <w:r>
        <w:t xml:space="preserve"> </w:t>
      </w:r>
      <w:r>
        <w:rPr>
          <w:rStyle w:val="VerbatimChar"/>
        </w:rPr>
        <w:t xml:space="preserve">EUNITE.Loads</w:t>
      </w:r>
      <w:r>
        <w:t xml:space="preserve"> </w:t>
      </w:r>
      <w:r>
        <w:t xml:space="preserve">as the target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01"/>
        </w:numPr>
      </w:pPr>
      <w:r>
        <w:t xml:space="preserve">the weekday code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x1</w:t>
      </w:r>
    </w:p>
    <w:p>
      <w:pPr>
        <w:pStyle w:val="Compact"/>
        <w:numPr>
          <w:ilvl w:val="0"/>
          <w:numId w:val="1001"/>
        </w:numPr>
      </w:pPr>
      <w:r>
        <w:t xml:space="preserve">a weekend indicator derived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We now build the aligned multivariate object. Every row corresponds to the same</w:t>
      </w:r>
      <w:r>
        <w:t xml:space="preserve"> </w:t>
      </w:r>
      <w:r>
        <w:t xml:space="preserve">time instant for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x1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 x1 x2</w:t>
      </w:r>
      <w:r>
        <w:br/>
      </w:r>
      <w:r>
        <w:rPr>
          <w:rStyle w:val="VerbatimChar"/>
        </w:rPr>
        <w:t xml:space="preserve">## 1 797  4  0</w:t>
      </w:r>
      <w:r>
        <w:br/>
      </w:r>
      <w:r>
        <w:rPr>
          <w:rStyle w:val="VerbatimChar"/>
        </w:rPr>
        <w:t xml:space="preserve">## 2 777  5  0</w:t>
      </w:r>
      <w:r>
        <w:br/>
      </w:r>
      <w:r>
        <w:rPr>
          <w:rStyle w:val="VerbatimChar"/>
        </w:rPr>
        <w:t xml:space="preserve">## 3 797  6  0</w:t>
      </w:r>
      <w:r>
        <w:br/>
      </w:r>
      <w:r>
        <w:rPr>
          <w:rStyle w:val="VerbatimChar"/>
        </w:rPr>
        <w:t xml:space="preserve">## 4 757  7  1</w:t>
      </w:r>
      <w:r>
        <w:br/>
      </w:r>
      <w:r>
        <w:rPr>
          <w:rStyle w:val="VerbatimChar"/>
        </w:rPr>
        <w:t xml:space="preserve">## 5 707  1  1</w:t>
      </w:r>
    </w:p>
    <w:p>
      <w:pPr>
        <w:pStyle w:val="FirstParagraph"/>
      </w:pPr>
      <w:r>
        <w:t xml:space="preserve">The object keeps the target and the auxiliary variable names as metadata.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(mv,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"y"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(mv,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"x1" "x2"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(mv,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"y"  "x1" "x2"</w:t>
      </w:r>
    </w:p>
    <w:p>
      <w:pPr>
        <w:pStyle w:val="FirstParagraph"/>
      </w:pPr>
      <w:r>
        <w:t xml:space="preserve">The next step in most workflows is a time-aware split.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 x1 x2</w:t>
      </w:r>
      <w:r>
        <w:br/>
      </w:r>
      <w:r>
        <w:rPr>
          <w:rStyle w:val="VerbatimChar"/>
        </w:rPr>
        <w:t xml:space="preserve">## 1 797  4  0</w:t>
      </w:r>
      <w:r>
        <w:br/>
      </w:r>
      <w:r>
        <w:rPr>
          <w:rStyle w:val="VerbatimChar"/>
        </w:rPr>
        <w:t xml:space="preserve">## 2 777  5  0</w:t>
      </w:r>
      <w:r>
        <w:br/>
      </w:r>
      <w:r>
        <w:rPr>
          <w:rStyle w:val="VerbatimChar"/>
        </w:rPr>
        <w:t xml:space="preserve">## 3 797  6  0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y x1 x2</w:t>
      </w:r>
      <w:r>
        <w:br/>
      </w:r>
      <w:r>
        <w:rPr>
          <w:rStyle w:val="VerbatimChar"/>
        </w:rPr>
        <w:t xml:space="preserve">## 757 791  4  0</w:t>
      </w:r>
      <w:r>
        <w:br/>
      </w:r>
      <w:r>
        <w:rPr>
          <w:rStyle w:val="VerbatimChar"/>
        </w:rPr>
        <w:t xml:space="preserve">## 758 776  5  0</w:t>
      </w:r>
      <w:r>
        <w:br/>
      </w:r>
      <w:r>
        <w:rPr>
          <w:rStyle w:val="VerbatimChar"/>
        </w:rPr>
        <w:t xml:space="preserve">## 759 792  6  0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is the aligned multivariate representation used by the rest of the multivariate workflow.</w:t>
      </w:r>
      <w:r>
        <w:t xml:space="preserve"> </w:t>
      </w:r>
      <w:r>
        <w:t xml:space="preserve">- The object preserves the semantic distinction between the target and the auxiliary variables.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works on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just as it does on the univariate workflow, but without losing temporal alignment.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2026-05-19T03:20:46Z</dcterms:created>
  <dcterms:modified xsi:type="dcterms:W3CDTF">2026-05-19T03:20:46Z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