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ac258c0e05a5903c9e99b04f730e9e987675448"/>
    <w:p>
      <w:pPr>
        <w:pStyle w:val="Heading2"/>
      </w:pPr>
      <w:r>
        <w:t xml:space="preserve">Target-Centered Multivariate Linear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ts_lm_mv()</w:t>
      </w:r>
      <w:r>
        <w:t xml:space="preserve"> </w:t>
      </w:r>
      <w:r>
        <w:t xml:space="preserve">is the simplest model in the singular multivariate branch.</w:t>
      </w:r>
      <w:r>
        <w:t xml:space="preserve"> </w:t>
      </w:r>
      <w:r>
        <w:t xml:space="preserve">- It keeps one target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as the main forecasting objective and expresses its relation with the auxiliary variables through a regression formula.</w:t>
      </w:r>
    </w:p>
    <w:p>
      <w:pPr>
        <w:pStyle w:val="BodyText"/>
      </w:pPr>
      <w:r>
        <w:t xml:space="preserve">Didactic goal: show how the formula-based style from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enters the multivariate time-series workflow of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Target-centered multivariate linear regression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reuse a compact synthetic multivariate system built from the benchmark series</w:t>
      </w:r>
      <w:r>
        <w:t xml:space="preserve"> </w:t>
      </w:r>
      <w:r>
        <w:rPr>
          <w:rStyle w:val="VerbatimChar"/>
        </w:rPr>
        <w:t xml:space="preserve">tsd$y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x2[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(x2)]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(x2)]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x1,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(x2)),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experiment now follows the same structure used in the other singular</w:t>
      </w:r>
      <w:r>
        <w:t xml:space="preserve"> </w:t>
      </w:r>
      <w:r>
        <w:t xml:space="preserve">multivariate notebooks: define the split, fit the model, inspect the one-step</w:t>
      </w:r>
      <w:r>
        <w:t xml:space="preserve"> </w:t>
      </w:r>
      <w:r>
        <w:t xml:space="preserve">forecast, inspect the multi-step target forecast, inspect the synchronized</w:t>
      </w:r>
      <w:r>
        <w:t xml:space="preserve"> </w:t>
      </w:r>
      <w:r>
        <w:t xml:space="preserve">system forecast, and then evaluate the target trajectory.</w:t>
      </w:r>
    </w:p>
    <w:p>
      <w:pPr>
        <w:pStyle w:val="BodyText"/>
      </w:pPr>
      <w:r>
        <w:t xml:space="preserve">The formula makes the relation between the target and the auxiliaries explicit.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ts_lm_mv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FirstParagraph"/>
      </w:pPr>
      <w:r>
        <w:t xml:space="preserve">In this first singular example, we assume that the future auxiliaries are known</w:t>
      </w:r>
      <w:r>
        <w:t xml:space="preserve"> </w:t>
      </w:r>
      <w:r>
        <w:t xml:space="preserve">and therefore use the held-out rows directly during prediction.</w:t>
      </w:r>
    </w:p>
    <w:p>
      <w:pPr>
        <w:pStyle w:val="SourceCode"/>
      </w:pP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0.4116193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 0.41161932  0.17404351 -0.07477247 -0.31935845 -0.44889824</w:t>
      </w:r>
    </w:p>
    <w:p>
      <w:pPr>
        <w:pStyle w:val="FirstParagraph"/>
      </w:pPr>
      <w:r>
        <w:t xml:space="preserve">The prediction itself is the target path. The synchronized multivariate</w:t>
      </w:r>
      <w:r>
        <w:t xml:space="preserve"> </w:t>
      </w:r>
      <w:r>
        <w:t xml:space="preserve">forecast is attached as an attribute.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NULL</w:t>
      </w:r>
    </w:p>
    <w:p>
      <w:pPr>
        <w:pStyle w:val="FirstParagraph"/>
      </w:pPr>
      <w:r>
        <w:t xml:space="preserve">The target values remain available for direct evaluation.</w:t>
      </w:r>
    </w:p>
    <w:p>
      <w:pPr>
        <w:pStyle w:val="SourceCode"/>
      </w:pP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mse      smape       R2</w:t>
      </w:r>
      <w:r>
        <w:br/>
      </w:r>
      <w:r>
        <w:rPr>
          <w:rStyle w:val="VerbatimChar"/>
        </w:rPr>
        <w:t xml:space="preserve">## 1 0.001809761 0.03985082 0.984369</w:t>
      </w:r>
    </w:p>
    <w:p>
      <w:pPr>
        <w:pStyle w:val="FirstParagraph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ts_lm_mv()</w:t>
      </w:r>
      <w:r>
        <w:t xml:space="preserve"> </w:t>
      </w:r>
      <w:r>
        <w:t xml:space="preserve">is the most direct entry point into the singular multivariate branch.</w:t>
      </w:r>
      <w:r>
        <w:t xml:space="preserve"> </w:t>
      </w:r>
      <w:r>
        <w:t xml:space="preserve">- The</w:t>
      </w:r>
      <w:r>
        <w:t xml:space="preserve"> </w:t>
      </w:r>
      <w:r>
        <w:rPr>
          <w:rStyle w:val="VerbatimChar"/>
        </w:rPr>
        <w:t xml:space="preserve">formula</w:t>
      </w:r>
      <w:r>
        <w:t xml:space="preserve"> </w:t>
      </w:r>
      <w:r>
        <w:t xml:space="preserve">argument makes the structural relation between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and the auxiliary variables explicit.</w:t>
      </w:r>
      <w:r>
        <w:t xml:space="preserve"> </w:t>
      </w:r>
      <w:r>
        <w:t xml:space="preserve">- When future auxiliary values are known, singular multivariate prediction can use the held-out aligned rows directly.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2026-05-19T03:20:48Z</dcterms:created>
  <dcterms:modified xsi:type="dcterms:W3CDTF">2026-05-19T03:20:48Z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