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lip-augmentation"/>
    <w:p>
      <w:pPr>
        <w:pStyle w:val="Heading2"/>
      </w:pPr>
      <w:r>
        <w:t xml:space="preserve">Flip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Flip augmentation mirrors local windows around their mean or central behavior.</w:t>
      </w:r>
      <w:r>
        <w:t xml:space="preserve"> </w:t>
      </w:r>
      <w:r>
        <w:t xml:space="preserve">- The goal is to create symmetric pattern variations so the learner sees a broader set of local shapes.</w:t>
      </w:r>
    </w:p>
    <w:p>
      <w:pPr>
        <w:pStyle w:val="BodyText"/>
      </w:pPr>
      <w:r>
        <w:t xml:space="preserve">Didactic goal: understand how shape-based augmentation changes the training windows presented to the predictor.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flip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3-flip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(flip).</w:t>
      </w:r>
    </w:p>
    <w:p>
      <w:pPr>
        <w:pStyle w:val="SourceCode"/>
      </w:pPr>
      <w:r>
        <w:rPr>
          <w:rStyle w:val="CommentTok"/>
        </w:rPr>
        <w:t xml:space="preserve"># Augmentation (flip)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ts_aug_flip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3-flip-augmentation_files/ad16eebb260b9c4eb12550c341798c8ff03572c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2026-09-19T08:39:17Z</dcterms:created>
  <dcterms:modified xsi:type="dcterms:W3CDTF">2026-09-19T08:39:17Z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