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introduces</w:t>
      </w:r>
      <w:r>
        <w:t xml:space="preserve"> </w:t>
      </w:r>
      <w:r>
        <w:rPr>
          <w:rStyle w:val="VerbatimChar"/>
        </w:rPr>
        <w:t xml:space="preserve">ipeadata.d</w:t>
      </w:r>
      <w:r>
        <w:t xml:space="preserve">, the daily macroeconomic dataset from Ipea.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The notebook inspects the wide table layout used to package multiple univariate daily series in one object.</w:t>
      </w:r>
    </w:p>
    <w:bookmarkEnd w:id="10"/>
    <w:bookmarkStart w:id="14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load</w:t>
      </w:r>
      <w:r>
        <w:t xml:space="preserve"> </w:t>
      </w:r>
      <w:r>
        <w:rPr>
          <w:rStyle w:val="VerbatimChar"/>
        </w:rPr>
        <w:t xml:space="preserve">ipeadata.d</w:t>
      </w:r>
    </w:p>
    <w:p>
      <w:pPr>
        <w:pStyle w:val="Compact"/>
        <w:numPr>
          <w:ilvl w:val="0"/>
          <w:numId w:val="1001"/>
        </w:numPr>
      </w:pPr>
      <w:r>
        <w:t xml:space="preserve">inspect dimensions and column names</w:t>
      </w:r>
    </w:p>
    <w:p>
      <w:pPr>
        <w:pStyle w:val="Compact"/>
        <w:numPr>
          <w:ilvl w:val="0"/>
          <w:numId w:val="1001"/>
        </w:numPr>
      </w:pPr>
      <w:r>
        <w:t xml:space="preserve">preview the first rows</w:t>
      </w:r>
    </w:p>
    <w:p>
      <w:pPr>
        <w:pStyle w:val="Compact"/>
        <w:numPr>
          <w:ilvl w:val="0"/>
          <w:numId w:val="1001"/>
        </w:numPr>
      </w:pPr>
      <w:r>
        <w:t xml:space="preserve">plot the first available series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SourceCode"/>
      </w:pPr>
      <w:r>
        <w:rPr>
          <w:rStyle w:val="NormalTok"/>
        </w:rPr>
        <w:t xml:space="preserve">expand_dataset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(url)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nzchar</w:t>
      </w:r>
      <w:r>
        <w:rPr>
          <w:rStyle w:val="NormalTok"/>
        </w:rPr>
        <w:t xml:space="preserve">(url)) x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(ipeadata.d)</w:t>
      </w:r>
      <w:r>
        <w:br/>
      </w:r>
      <w:r>
        <w:rPr>
          <w:rStyle w:val="NormalTok"/>
        </w:rPr>
        <w:t xml:space="preserve">ipeadata.d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expand_dataset</w:t>
      </w:r>
      <w:r>
        <w:rPr>
          <w:rStyle w:val="NormalTok"/>
        </w:rPr>
        <w:t xml:space="preserve">(ipeadata.d)</w:t>
      </w:r>
      <w:r>
        <w:br/>
      </w:r>
      <w:r>
        <w:rPr>
          <w:rStyle w:val="NormalTok"/>
        </w:rPr>
        <w:t xml:space="preserve">ipeadata.d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(ipeadata.d, 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"Dataset: ipeadata.d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ipeadata.d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"Rows:"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(ipeadata.d),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Rows: 365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"Columns:"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(ipeadata.d),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Columns: 13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(ipeadata.d))</w:t>
      </w:r>
    </w:p>
    <w:p>
      <w:pPr>
        <w:pStyle w:val="SourceCode"/>
      </w:pPr>
      <w:r>
        <w:rPr>
          <w:rStyle w:val="VerbatimChar"/>
        </w:rPr>
        <w:t xml:space="preserve">## [1] "GM366_IBVSP366"  "GM366_ERC366"    "GM366_EREURO366" "GM366_ERPV366"   "GM366_ERV366"    "GM366_TJOVER366"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(ipeadata.d[,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     GM366_IBVSP366 GM366_ERC366 GM366_EREURO366 GM366_ERPV366</w:t>
      </w:r>
      <w:r>
        <w:br/>
      </w:r>
      <w:r>
        <w:rPr>
          <w:rStyle w:val="VerbatimChar"/>
        </w:rPr>
        <w:t xml:space="preserve">## 7820             NA       3.5865              NA          2.67</w:t>
      </w:r>
      <w:r>
        <w:br/>
      </w:r>
      <w:r>
        <w:rPr>
          <w:rStyle w:val="VerbatimChar"/>
        </w:rPr>
        <w:t xml:space="preserve">## 7821             NA       3.6575              NA          2.66</w:t>
      </w:r>
      <w:r>
        <w:br/>
      </w:r>
      <w:r>
        <w:rPr>
          <w:rStyle w:val="VerbatimChar"/>
        </w:rPr>
        <w:t xml:space="preserve">## 7822             NA       3.6743              NA          2.63</w:t>
      </w:r>
      <w:r>
        <w:br/>
      </w:r>
      <w:r>
        <w:rPr>
          <w:rStyle w:val="VerbatimChar"/>
        </w:rPr>
        <w:t xml:space="preserve">## 7823             NA       3.6915              NA          2.59</w:t>
      </w:r>
      <w:r>
        <w:br/>
      </w:r>
      <w:r>
        <w:rPr>
          <w:rStyle w:val="VerbatimChar"/>
        </w:rPr>
        <w:t xml:space="preserve">## 7824             NA       3.6379              NA          2.68</w:t>
      </w:r>
      <w:r>
        <w:br/>
      </w:r>
      <w:r>
        <w:rPr>
          <w:rStyle w:val="VerbatimChar"/>
        </w:rPr>
        <w:t xml:space="preserve">## 7825             NA       3.5278              NA          2.70</w:t>
      </w:r>
    </w:p>
    <w:p>
      <w:pPr>
        <w:pStyle w:val="SourceCode"/>
      </w:pPr>
      <w:r>
        <w:rPr>
          <w:rStyle w:val="FunctionTok"/>
        </w:rPr>
        <w:t xml:space="preserve">ts.plot</w:t>
      </w:r>
      <w:r>
        <w:rPr>
          <w:rStyle w:val="NormalTok"/>
        </w:rPr>
        <w:t xml:space="preserve">(ipeadata.d[[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(ipeadata.d)[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/home/gpca/tspredit/examples/datasets/doc/05-ipeadata-daily_files/6561056ab9b028e88d9f5c71a0111dca503aa872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5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Ipea. Ipeadata portal.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2026-09-19T08:39:27Z</dcterms:created>
  <dcterms:modified xsi:type="dcterms:W3CDTF">2026-09-19T08:39:27Z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