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cent-lag-mapping"/>
    <w:p>
      <w:pPr>
        <w:pStyle w:val="Heading2"/>
      </w:pPr>
      <w:r>
        <w:t xml:space="preserve">Recent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recent</w:t>
      </w:r>
      <w:r>
        <w:t xml:space="preserve"> </w:t>
      </w:r>
      <w:r>
        <w:t xml:space="preserve">keeps the most recent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lagged observations.</w:t>
      </w:r>
      <w:r>
        <w:t xml:space="preserve"> </w:t>
      </w:r>
      <w:r>
        <w:t xml:space="preserve">- It reproduces the historical behavior of the package and is therefore the reference baseline for all other mapping rules.</w:t>
      </w:r>
    </w:p>
    <w:p>
      <w:pPr>
        <w:pStyle w:val="BodyText"/>
      </w:pPr>
      <w:r>
        <w:t xml:space="preserve">Didactic goal: show the default lag selection used by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before any adaptive mapping is introduced.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Recent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1-recent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4 3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"t4" "t3"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0.3737510  0.1381953 -0.1059528 -0.3435132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0.8890066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0.0372727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0.6780737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0.0372727 0.8890066 0.6780737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2026-09-19T08:39:55Z</dcterms:created>
  <dcterms:modified xsi:type="dcterms:W3CDTF">2026-09-19T08:39:55Z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