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ometric-lag-mapping"/>
    <w:p>
      <w:pPr>
        <w:pStyle w:val="Heading2"/>
      </w:pPr>
      <w:r>
        <w:t xml:space="preserve">Geometric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geom</w:t>
      </w:r>
      <w:r>
        <w:t xml:space="preserve"> </w:t>
      </w:r>
      <w:r>
        <w:t xml:space="preserve">concentrates more lags near the present while still preserving a few distant observations.</w:t>
      </w:r>
      <w:r>
        <w:t xml:space="preserve"> </w:t>
      </w:r>
      <w:r>
        <w:t xml:space="preserve">- It is a compact multiscale heuristic for problems where very recent dynamics dominate but older echoes may still matter.</w:t>
      </w:r>
    </w:p>
    <w:p>
      <w:pPr>
        <w:pStyle w:val="BodyText"/>
      </w:pPr>
      <w:r>
        <w:t xml:space="preserve">Didactic goal: show a nonlinear spacing of selected lags that balances recency and long-range coverage.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Geometric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3-geometric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9 4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"t9" "t4"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0.1381953 -0.1059528 -0.3435132 -0.5597157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0.1858229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0.003626603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0.9686768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0.003626603 0.1858229 0.9686768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2026-09-19T08:39:56Z</dcterms:created>
  <dcterms:modified xsi:type="dcterms:W3CDTF">2026-09-19T08:39:56Z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