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cf-lag-mapping"/>
    <w:p>
      <w:pPr>
        <w:pStyle w:val="Heading2"/>
      </w:pPr>
      <w:r>
        <w:t xml:space="preserve">ACF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acf</w:t>
      </w:r>
      <w:r>
        <w:t xml:space="preserve"> </w:t>
      </w:r>
      <w:r>
        <w:t xml:space="preserve">ranks lag candidates by the absolute autocorrelation estimated from the training series.</w:t>
      </w:r>
      <w:r>
        <w:t xml:space="preserve"> </w:t>
      </w:r>
      <w:r>
        <w:t xml:space="preserve">- It favors lags that are strongly linearly associated with the present, even when they are not the most recent ones.</w:t>
      </w:r>
    </w:p>
    <w:p>
      <w:pPr>
        <w:pStyle w:val="BodyText"/>
      </w:pPr>
      <w:r>
        <w:t xml:space="preserve">Didactic goal: use the correlation structure of the reconstructed series to choose informative lags.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ACF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4-acf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4 3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"t4" "t3"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2026-09-19T08:39:57Z</dcterms:created>
  <dcterms:modified xsi:type="dcterms:W3CDTF">2026-09-19T08:39:57Z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