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cf-seasonal-lag-mapping"/>
    <w:p>
      <w:pPr>
        <w:pStyle w:val="Heading2"/>
      </w:pPr>
      <w:r>
        <w:t xml:space="preserve">ACF Seasonal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acf_seasonal</w:t>
      </w:r>
      <w:r>
        <w:t xml:space="preserve"> </w:t>
      </w:r>
      <w:r>
        <w:t xml:space="preserve">starts with seasonal multiples and then completes the set with strong ACF lags.</w:t>
      </w:r>
      <w:r>
        <w:t xml:space="preserve"> </w:t>
      </w:r>
      <w:r>
        <w:t xml:space="preserve">- It is useful when seasonality exists but should not be the only structural signal retained.</w:t>
      </w:r>
    </w:p>
    <w:p>
      <w:pPr>
        <w:pStyle w:val="BodyText"/>
      </w:pPr>
      <w:r>
        <w:t xml:space="preserve">Didactic goal: combine a structural seasonal prior with an empirical correlation ranking.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ACF seasonal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8-acf-seasonal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"acf_seasonal"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8 4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"t8" "t4"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"acf_seasonal"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0.1381953 -0.1059528 -0.3435132 -0.5597157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0.1858229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0.003626603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0.9686768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0.003626603 0.1858229 0.9686768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2026-09-19T08:39:59Z</dcterms:created>
  <dcterms:modified xsi:type="dcterms:W3CDTF">2026-09-19T08:39:59Z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