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acf-seasonal-lag-mapping"/>
    <w:p>
      <w:pPr>
        <w:pStyle w:val="Heading2"/>
      </w:pPr>
      <w:r>
        <w:t xml:space="preserve">PACF Seasonal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pacf_seasonal</w:t>
      </w:r>
      <w:r>
        <w:t xml:space="preserve"> </w:t>
      </w:r>
      <w:r>
        <w:t xml:space="preserve">starts with seasonal multiples and then completes the set with strong PACF lags.</w:t>
      </w:r>
      <w:r>
        <w:t xml:space="preserve"> </w:t>
      </w:r>
      <w:r>
        <w:t xml:space="preserve">- It is the more selective seasonal hybrid when direct lag effects are preferred over broader autocorrelation echoes.</w:t>
      </w:r>
    </w:p>
    <w:p>
      <w:pPr>
        <w:pStyle w:val="BodyText"/>
      </w:pPr>
      <w:r>
        <w:t xml:space="preserve">Didactic goal: combine seasonal structure with a partial-correlation completion rule.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PACF seasonal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09-pacf-seasonal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"pacf_seasonal"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seasonality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8 4 2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"t8" "t4" "t2"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"pacf_seasonal"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seasonality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0.1381953 -0.1059528 -0.3435132 -0.5597157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0.1858229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0.003626603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0.9686768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0.003626603 0.1858229 0.9686768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2026-09-19T08:40:00Z</dcterms:created>
  <dcterms:modified xsi:type="dcterms:W3CDTF">2026-09-19T08:40:00Z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