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ac79e7cc9cf74640601f0365d3c2d417081586"/>
    <w:p>
      <w:pPr>
        <w:pStyle w:val="Heading2"/>
      </w:pPr>
      <w:r>
        <w:t xml:space="preserve">Train and Test Splits for Singular Multivariate Data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 The singular multivariate branch works with aligned observations, that is, with</w:t>
      </w:r>
      <w:r>
        <w:t xml:space="preserve"> </w:t>
      </w:r>
      <w:r>
        <w:rPr>
          <w:rStyle w:val="VerbatimChar"/>
        </w:rPr>
        <w:t xml:space="preserve">ts_data_mv(..., sw = 1)</w:t>
      </w:r>
      <w:r>
        <w:t xml:space="preserve">.</w:t>
      </w:r>
      <w:r>
        <w:t xml:space="preserve"> </w:t>
      </w:r>
      <w:r>
        <w:t xml:space="preserve">- This is the natural input for the new</w:t>
      </w:r>
      <w:r>
        <w:t xml:space="preserve"> </w:t>
      </w:r>
      <w:r>
        <w:rPr>
          <w:rStyle w:val="VerbatimChar"/>
        </w:rPr>
        <w:t xml:space="preserve">ts_reg_mv</w:t>
      </w:r>
      <w:r>
        <w:t xml:space="preserve"> </w:t>
      </w:r>
      <w:r>
        <w:t xml:space="preserve">family, which includes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.</w:t>
      </w:r>
    </w:p>
    <w:p>
      <w:pPr>
        <w:pStyle w:val="BodyText"/>
      </w:pPr>
      <w:r>
        <w:t xml:space="preserve">Didactic goal: inspect how the aligned multivariate object is split in time before fitting singular multivariate models.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Train and test splits for singular multivariate data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For the singular branch, it is useful to start from a compact synthetic</w:t>
      </w:r>
      <w:r>
        <w:t xml:space="preserve"> </w:t>
      </w:r>
      <w:r>
        <w:t xml:space="preserve">multivariate system built from the benchmark series</w:t>
      </w:r>
      <w:r>
        <w:t xml:space="preserve"> </w:t>
      </w:r>
      <w:r>
        <w:rPr>
          <w:rStyle w:val="VerbatimChar"/>
        </w:rPr>
        <w:t xml:space="preserve">tsd$y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(x2)),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y        x1        x2</w:t>
      </w:r>
      <w:r>
        <w:br/>
      </w:r>
      <w:r>
        <w:rPr>
          <w:rStyle w:val="VerbatimChar"/>
        </w:rPr>
        <w:t xml:space="preserve">## 1 0.0000000 0.2474040 0.0000000</w:t>
      </w:r>
      <w:r>
        <w:br/>
      </w:r>
      <w:r>
        <w:rPr>
          <w:rStyle w:val="VerbatimChar"/>
        </w:rPr>
        <w:t xml:space="preserve">## 2 0.2474040 0.4794255 0.2474040</w:t>
      </w:r>
      <w:r>
        <w:br/>
      </w:r>
      <w:r>
        <w:rPr>
          <w:rStyle w:val="VerbatimChar"/>
        </w:rPr>
        <w:t xml:space="preserve">## 3 0.4794255 0.6816388 0.2422765</w:t>
      </w:r>
      <w:r>
        <w:br/>
      </w:r>
      <w:r>
        <w:rPr>
          <w:rStyle w:val="VerbatimChar"/>
        </w:rPr>
        <w:t xml:space="preserve">## 4 0.6816388 0.8414710 0.4694894</w:t>
      </w:r>
      <w:r>
        <w:br/>
      </w:r>
      <w:r>
        <w:rPr>
          <w:rStyle w:val="VerbatimChar"/>
        </w:rPr>
        <w:t xml:space="preserve">## 5 0.8414710 0.9489846 0.6675118</w:t>
      </w:r>
    </w:p>
    <w:p>
      <w:pPr>
        <w:pStyle w:val="FirstParagraph"/>
      </w:pPr>
      <w:r>
        <w:t xml:space="preserve">Because this branch operates directly on synchronized observations, the split is</w:t>
      </w:r>
      <w:r>
        <w:t xml:space="preserve"> </w:t>
      </w:r>
      <w:r>
        <w:t xml:space="preserve">performed on the aligned object itself.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y        x1        x2</w:t>
      </w:r>
      <w:r>
        <w:br/>
      </w:r>
      <w:r>
        <w:rPr>
          <w:rStyle w:val="VerbatimChar"/>
        </w:rPr>
        <w:t xml:space="preserve">## 1 0.0000000 0.2474040 0.0000000</w:t>
      </w:r>
      <w:r>
        <w:br/>
      </w:r>
      <w:r>
        <w:rPr>
          <w:rStyle w:val="VerbatimChar"/>
        </w:rPr>
        <w:t xml:space="preserve">## 2 0.2474040 0.4794255 0.2474040</w:t>
      </w:r>
      <w:r>
        <w:br/>
      </w:r>
      <w:r>
        <w:rPr>
          <w:rStyle w:val="VerbatimChar"/>
        </w:rPr>
        <w:t xml:space="preserve">## 3 0.4794255 0.6816388 0.2422765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y          x1        x2</w:t>
      </w:r>
      <w:r>
        <w:br/>
      </w:r>
      <w:r>
        <w:rPr>
          <w:rStyle w:val="VerbatimChar"/>
        </w:rPr>
        <w:t xml:space="preserve">## 37  0.41211849  0.17388949 0.6117765</w:t>
      </w:r>
      <w:r>
        <w:br/>
      </w:r>
      <w:r>
        <w:rPr>
          <w:rStyle w:val="VerbatimChar"/>
        </w:rPr>
        <w:t xml:space="preserve">## 38  0.17388949 -0.07515112 0.4035773</w:t>
      </w:r>
      <w:r>
        <w:br/>
      </w:r>
      <w:r>
        <w:rPr>
          <w:rStyle w:val="VerbatimChar"/>
        </w:rPr>
        <w:t xml:space="preserve">## 39 -0.07515112 -0.31951919 0.1702856</w:t>
      </w:r>
    </w:p>
    <w:p>
      <w:pPr>
        <w:pStyle w:val="FirstParagraph"/>
      </w:pPr>
      <w:r>
        <w:t xml:space="preserve">The target remains explicit, but the future auxiliary values are also available</w:t>
      </w:r>
      <w:r>
        <w:t xml:space="preserve"> </w:t>
      </w:r>
      <w:r>
        <w:t xml:space="preserve">in the held-out partition. This matters because singular multivariate models may</w:t>
      </w:r>
      <w:r>
        <w:t xml:space="preserve"> </w:t>
      </w:r>
      <w:r>
        <w:t xml:space="preserve">use them in two different ways:</w:t>
      </w:r>
    </w:p>
    <w:p>
      <w:pPr>
        <w:pStyle w:val="Compact"/>
        <w:numPr>
          <w:ilvl w:val="0"/>
          <w:numId w:val="1001"/>
        </w:numPr>
      </w:pPr>
      <w:r>
        <w:t xml:space="preserve">directly, when the future auxiliaries are already known</w:t>
      </w:r>
    </w:p>
    <w:p>
      <w:pPr>
        <w:pStyle w:val="Compact"/>
        <w:numPr>
          <w:ilvl w:val="0"/>
          <w:numId w:val="1001"/>
        </w:numPr>
      </w:pPr>
      <w:r>
        <w:t xml:space="preserve">indirectly, when the auxiliaries must be forecast by their own univariate models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0.9226042 0.7984871 0.6247240</w:t>
      </w:r>
    </w:p>
    <w:p>
      <w:pPr>
        <w:pStyle w:val="SourceCode"/>
      </w:pP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  x1          x2</w:t>
      </w:r>
      <w:r>
        <w:br/>
      </w:r>
      <w:r>
        <w:rPr>
          <w:rStyle w:val="VerbatimChar"/>
        </w:rPr>
        <w:t xml:space="preserve">## 37  0.17388949  0.61177652</w:t>
      </w:r>
      <w:r>
        <w:br/>
      </w:r>
      <w:r>
        <w:rPr>
          <w:rStyle w:val="VerbatimChar"/>
        </w:rPr>
        <w:t xml:space="preserve">## 38 -0.07515112  0.40357731</w:t>
      </w:r>
      <w:r>
        <w:br/>
      </w:r>
      <w:r>
        <w:rPr>
          <w:rStyle w:val="VerbatimChar"/>
        </w:rPr>
        <w:t xml:space="preserve">## 39 -0.31951919  0.17028562</w:t>
      </w:r>
      <w:r>
        <w:br/>
      </w:r>
      <w:r>
        <w:rPr>
          <w:rStyle w:val="VerbatimChar"/>
        </w:rPr>
        <w:t xml:space="preserve">## 40 -0.54402111 -0.07359361</w:t>
      </w:r>
      <w:r>
        <w:br/>
      </w:r>
      <w:r>
        <w:rPr>
          <w:rStyle w:val="VerbatimChar"/>
        </w:rPr>
        <w:t xml:space="preserve">## 41 -0.54402111 -0.31289714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ts_sample()</w:t>
      </w:r>
      <w:r>
        <w:t xml:space="preserve"> </w:t>
      </w:r>
      <w:r>
        <w:t xml:space="preserve">should be applied directly to the aligned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object in the singular multivariate branch.</w:t>
      </w:r>
      <w:r>
        <w:t xml:space="preserve"> </w:t>
      </w:r>
      <w:r>
        <w:t xml:space="preserve">- The test partition keeps the future rows of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, which can be supplied directly to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.</w:t>
      </w:r>
      <w:r>
        <w:t xml:space="preserve"> </w:t>
      </w:r>
      <w:r>
        <w:t xml:space="preserve">- This branch is conceptually different from the sliding-window branch, where the split happens after the lagged materialization.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2026-09-19T08:40:04Z</dcterms:created>
  <dcterms:modified xsi:type="dcterms:W3CDTF">2026-09-19T08:40:04Z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