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44eada3df4197e8ca5cd1be3028b3472c765d5"/>
    <w:p>
      <w:pPr>
        <w:pStyle w:val="Heading2"/>
      </w:pPr>
      <w:r>
        <w:t xml:space="preserve">Stock Closing-Price Forecasting with Non-Deterministic Auxiliaries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as non-deterministic auxiliary variables.</w:t>
      </w:r>
      <w:r>
        <w:t xml:space="preserve"> </w:t>
      </w:r>
      <w:r>
        <w:t xml:space="preserve">- Unlike the previous example, the auxiliary variables are not governed by a fixed law of formation. They need their own forecasting models.</w:t>
      </w:r>
    </w:p>
    <w:p>
      <w:pPr>
        <w:pStyle w:val="BodyText"/>
      </w:pPr>
      <w:r>
        <w:t xml:space="preserve">Didactic goal: compare a direct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baseline on the closing price against a target-centered multivariate workflow whose auxiliary variables mix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non-deterministic auxiliaries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switch to a different multivariate scenario. Instead of deterministic</w:t>
      </w:r>
      <w:r>
        <w:t xml:space="preserve"> </w:t>
      </w:r>
      <w:r>
        <w:t xml:space="preserve">calendar auxiliaries, we use market variables from the packaged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collection. The target is the closing price, while the other fields behave as</w:t>
      </w:r>
      <w:r>
        <w:t xml:space="preserve"> </w:t>
      </w:r>
      <w:r>
        <w:t xml:space="preserve">non-deterministic auxiliary series.</w:t>
      </w:r>
    </w:p>
    <w:p>
      <w:pPr>
        <w:pStyle w:val="BodyText"/>
      </w:pPr>
      <w:r>
        <w:t xml:space="preserve">For a faster didactic run, we keep only the last two years of valid</w:t>
      </w:r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6057 65.72 65.99 66.14 65.51 12497900</w:t>
      </w:r>
      <w:r>
        <w:br/>
      </w:r>
      <w:r>
        <w:rPr>
          <w:rStyle w:val="VerbatimChar"/>
        </w:rPr>
        <w:t xml:space="preserve">## 6058 65.51 65.50 65.87 65.04 17360200</w:t>
      </w:r>
      <w:r>
        <w:br/>
      </w:r>
      <w:r>
        <w:rPr>
          <w:rStyle w:val="VerbatimChar"/>
        </w:rPr>
        <w:t xml:space="preserve">## 6059 68.00 66.49 68.32 66.34 40947100</w:t>
      </w:r>
    </w:p>
    <w:p>
      <w:pPr>
        <w:pStyle w:val="FirstParagraph"/>
      </w:pPr>
      <w:r>
        <w:t xml:space="preserve">The aligned object can now be split in time just like any other target-centered</w:t>
      </w:r>
      <w:r>
        <w:t xml:space="preserve"> </w:t>
      </w:r>
      <w:r>
        <w:t xml:space="preserve">multivariate dataset.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Before introducing the multivariate workflow, we build a direct univariate</w:t>
      </w:r>
      <w:r>
        <w:t xml:space="preserve"> </w:t>
      </w:r>
      <w:r>
        <w:t xml:space="preserve">baseline on the closing price itself. This keeps the interpretation honest: we</w:t>
      </w:r>
      <w:r>
        <w:t xml:space="preserve"> </w:t>
      </w:r>
      <w:r>
        <w:t xml:space="preserve">first ask how far a classical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can go before bringing in the auxiliary</w:t>
      </w:r>
      <w:r>
        <w:t xml:space="preserve"> </w:t>
      </w:r>
      <w:r>
        <w:t xml:space="preserve">variables.</w:t>
      </w:r>
    </w:p>
    <w:p>
      <w:pPr>
        <w:pStyle w:val="SourceCode"/>
      </w:pPr>
      <w:r>
        <w:rPr>
          <w:rStyle w:val="NormalTok"/>
        </w:rPr>
        <w:t xml:space="preserve">close_ts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close_samp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(close_ts,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arima_baseline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arima_baseline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(arima_baseline,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NormalTok"/>
        </w:rPr>
        <w:t xml:space="preserve">pred_arima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(arima_baseline,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(pred_arima)</w:t>
      </w:r>
      <w:r>
        <w:br/>
      </w:r>
      <w:r>
        <w:rPr>
          <w:rStyle w:val="NormalTok"/>
        </w:rPr>
        <w:t xml:space="preserve">ev_arima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(arima_baseline,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test), pred_arima)</w:t>
      </w:r>
      <w:r>
        <w:br/>
      </w:r>
      <w:r>
        <w:rPr>
          <w:rStyle w:val="NormalTok"/>
        </w:rPr>
        <w:t xml:space="preserve">ev_arima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6.768766 0.02329364 -2.204515</w:t>
      </w:r>
    </w:p>
    <w:p>
      <w:pPr>
        <w:pStyle w:val="FirstParagraph"/>
      </w:pPr>
      <w:r>
        <w:t xml:space="preserve">The multivariate experiment below follows the same structure used in the model</w:t>
      </w:r>
      <w:r>
        <w:t xml:space="preserve"> </w:t>
      </w:r>
      <w:r>
        <w:t xml:space="preserve">comparison notebooks that come next: fit the system, inspect the one-step</w:t>
      </w:r>
      <w:r>
        <w:t xml:space="preserve"> </w:t>
      </w:r>
      <w:r>
        <w:t xml:space="preserve">target forecast, inspect the five-step target forecast, inspect the full</w:t>
      </w:r>
      <w:r>
        <w:t xml:space="preserve"> </w:t>
      </w:r>
      <w:r>
        <w:t xml:space="preserve">multivariate forecast table, plot the target, and evaluate the target</w:t>
      </w:r>
      <w:r>
        <w:t xml:space="preserve"> </w:t>
      </w:r>
      <w:r>
        <w:t xml:space="preserve">trajectory.</w:t>
      </w:r>
    </w:p>
    <w:p>
      <w:pPr>
        <w:pStyle w:val="BodyText"/>
      </w:pPr>
      <w:r>
        <w:t xml:space="preserve">This time, the auxiliary variables are not deterministic. We therefore assign</w:t>
      </w:r>
      <w:r>
        <w:t xml:space="preserve"> </w:t>
      </w:r>
      <w:r>
        <w:t xml:space="preserve">real forecasting models to them. After a few trial configurations, a</w:t>
      </w:r>
      <w:r>
        <w:t xml:space="preserve"> </w:t>
      </w:r>
      <w:r>
        <w:rPr>
          <w:rStyle w:val="VerbatimChar"/>
        </w:rPr>
        <w:t xml:space="preserve">Random Forest</w:t>
      </w:r>
      <w:r>
        <w:t xml:space="preserve"> </w:t>
      </w:r>
      <w:r>
        <w:t xml:space="preserve">worked better as the target learner for this particular stock holdout,</w:t>
      </w:r>
      <w:r>
        <w:t xml:space="preserve"> </w:t>
      </w:r>
      <w:r>
        <w:t xml:space="preserve">while the auxiliaries remain intentionally heterogeneous: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ELM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high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DARIMA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MLP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volume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WARMA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ts_darima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ts_warma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mixed specification also clarifies an important point of the current API:</w:t>
      </w:r>
      <w:r>
        <w:t xml:space="preserve"> </w:t>
      </w:r>
      <w:r>
        <w:t xml:space="preserve">the univariate support models used inside</w:t>
      </w:r>
      <w:r>
        <w:t xml:space="preserve"> </w:t>
      </w:r>
      <w:r>
        <w:rPr>
          <w:rStyle w:val="VerbatimChar"/>
        </w:rPr>
        <w:t xml:space="preserve">ts_regsw_mv</w:t>
      </w:r>
      <w:r>
        <w:t xml:space="preserve"> </w:t>
      </w:r>
      <w:r>
        <w:t xml:space="preserve">do not need to be all</w:t>
      </w:r>
      <w:r>
        <w:t xml:space="preserve"> </w:t>
      </w:r>
      <w:r>
        <w:t xml:space="preserve">of the same family. Here: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ts_rf()</w:t>
      </w:r>
      <w:r>
        <w:t xml:space="preserve"> </w:t>
      </w:r>
      <w:r>
        <w:t xml:space="preserve">gives a more stable target learner for this stock example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ts_elm()</w:t>
      </w:r>
      <w:r>
        <w:t xml:space="preserve"> </w:t>
      </w:r>
      <w:r>
        <w:t xml:space="preserve">offers a lighter neural alternative for one auxiliary variable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ts_darima()</w:t>
      </w:r>
      <w:r>
        <w:t xml:space="preserve"> </w:t>
      </w:r>
      <w:r>
        <w:t xml:space="preserve">acts as a lightweight ARIMA-like learner in the</w:t>
      </w:r>
      <w:r>
        <w:t xml:space="preserve"> </w:t>
      </w:r>
      <w:r>
        <w:t xml:space="preserve">sliding-window world, with differencing delegated to preprocessing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ts_mlp()</w:t>
      </w:r>
      <w:r>
        <w:t xml:space="preserve"> </w:t>
      </w:r>
      <w:r>
        <w:t xml:space="preserve">remains available as a nonlinear auxiliary learner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ts_warma()</w:t>
      </w:r>
      <w:r>
        <w:t xml:space="preserve"> </w:t>
      </w:r>
      <w:r>
        <w:t xml:space="preserve">acts as a local-normalization competitor in the same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We first inspect the next closing-price forecast.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86.1927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85.78517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85.99456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82.20966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33076060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close     open     high      low   volume</w:t>
      </w:r>
      <w:r>
        <w:br/>
      </w:r>
      <w:r>
        <w:rPr>
          <w:rStyle w:val="VerbatimChar"/>
        </w:rPr>
        <w:t xml:space="preserve">## 1 86.1927 85.78517 85.99456 82.20966 33076060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FirstParagraph"/>
      </w:pPr>
      <w:r>
        <w:t xml:space="preserve">We then inspect the recursive multi-step path for the target.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86.1927 86.1368 85.7986 85.7490 85.7441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85.78517 84.00956 85.78546 86.87644 85.34103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85.99456 87.11913 87.63444 86.98998 86.67025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82.20966 82.47191 82.21620 82.24374 82.37079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33076060 33506772 34513366 33013400 31279800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close     open     high      low   volume</w:t>
      </w:r>
      <w:r>
        <w:br/>
      </w:r>
      <w:r>
        <w:rPr>
          <w:rStyle w:val="VerbatimChar"/>
        </w:rPr>
        <w:t xml:space="preserve">## 1 86.1927 85.78517 85.99456 82.20966 33076060</w:t>
      </w:r>
      <w:r>
        <w:br/>
      </w:r>
      <w:r>
        <w:rPr>
          <w:rStyle w:val="VerbatimChar"/>
        </w:rPr>
        <w:t xml:space="preserve">## 2 86.1368 84.00956 87.11913 82.47191 33506772</w:t>
      </w:r>
      <w:r>
        <w:br/>
      </w:r>
      <w:r>
        <w:rPr>
          <w:rStyle w:val="VerbatimChar"/>
        </w:rPr>
        <w:t xml:space="preserve">## 3 85.7986 85.78546 87.63444 82.21620 34513366</w:t>
      </w:r>
      <w:r>
        <w:br/>
      </w:r>
      <w:r>
        <w:rPr>
          <w:rStyle w:val="VerbatimChar"/>
        </w:rPr>
        <w:t xml:space="preserve">## 4 85.7490 86.87644 86.98998 82.24374 33013400</w:t>
      </w:r>
      <w:r>
        <w:br/>
      </w:r>
      <w:r>
        <w:rPr>
          <w:rStyle w:val="VerbatimChar"/>
        </w:rPr>
        <w:t xml:space="preserve">## 5 85.7441 85.34103 86.67025 82.37079 31279800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FirstParagraph"/>
      </w:pPr>
      <w:r>
        <w:t xml:space="preserve">The recursive predictions for the endogenous auxiliary variables are also</w:t>
      </w:r>
      <w:r>
        <w:t xml:space="preserve"> </w:t>
      </w:r>
      <w:r>
        <w:t xml:space="preserve">attached to that target-centered return object.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"prediction_x"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$open</w:t>
      </w:r>
      <w:r>
        <w:br/>
      </w:r>
      <w:r>
        <w:rPr>
          <w:rStyle w:val="VerbatimChar"/>
        </w:rPr>
        <w:t xml:space="preserve">## [1] 85.78517 84.00956 85.78546 86.87644 85.34103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$high</w:t>
      </w:r>
      <w:r>
        <w:br/>
      </w:r>
      <w:r>
        <w:rPr>
          <w:rStyle w:val="VerbatimChar"/>
        </w:rPr>
        <w:t xml:space="preserve">## [1] 85.99456 87.11913 87.63444 86.98998 86.67025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$low</w:t>
      </w:r>
      <w:r>
        <w:br/>
      </w:r>
      <w:r>
        <w:rPr>
          <w:rStyle w:val="VerbatimChar"/>
        </w:rPr>
        <w:t xml:space="preserve">## [1] 82.20966 82.47191 82.21620 82.24374 82.37079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$volume</w:t>
      </w:r>
      <w:r>
        <w:br/>
      </w:r>
      <w:r>
        <w:rPr>
          <w:rStyle w:val="VerbatimChar"/>
        </w:rPr>
        <w:t xml:space="preserve">## [1] 33076060 33506772 34513366 33013400 31279800</w:t>
      </w:r>
    </w:p>
    <w:p>
      <w:pPr>
        <w:pStyle w:val="FirstParagraph"/>
      </w:pPr>
      <w:r>
        <w:t xml:space="preserve">The synchronized multivariate forecast remains attached as a tabular attribute</w:t>
      </w:r>
      <w:r>
        <w:t xml:space="preserve"> </w:t>
      </w:r>
      <w:r>
        <w:t xml:space="preserve">of the same target path.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close     open     high      low   volume</w:t>
      </w:r>
      <w:r>
        <w:br/>
      </w:r>
      <w:r>
        <w:rPr>
          <w:rStyle w:val="VerbatimChar"/>
        </w:rPr>
        <w:t xml:space="preserve">## 1 86.1927 85.78517 85.99456 82.20966 33076060</w:t>
      </w:r>
      <w:r>
        <w:br/>
      </w:r>
      <w:r>
        <w:rPr>
          <w:rStyle w:val="VerbatimChar"/>
        </w:rPr>
        <w:t xml:space="preserve">## 2 86.1368 84.00956 87.11913 82.47191 33506772</w:t>
      </w:r>
      <w:r>
        <w:br/>
      </w:r>
      <w:r>
        <w:rPr>
          <w:rStyle w:val="VerbatimChar"/>
        </w:rPr>
        <w:t xml:space="preserve">## 3 85.7986 85.78546 87.63444 82.21620 34513366</w:t>
      </w:r>
      <w:r>
        <w:br/>
      </w:r>
      <w:r>
        <w:rPr>
          <w:rStyle w:val="VerbatimChar"/>
        </w:rPr>
        <w:t xml:space="preserve">## 4 85.7490 86.87644 86.98998 82.24374 33013400</w:t>
      </w:r>
      <w:r>
        <w:br/>
      </w:r>
      <w:r>
        <w:rPr>
          <w:rStyle w:val="VerbatimChar"/>
        </w:rPr>
        <w:t xml:space="preserve">## 5 85.7441 85.34103 86.67025 82.37079 31279800</w:t>
      </w:r>
    </w:p>
    <w:p>
      <w:pPr>
        <w:pStyle w:val="FirstParagraph"/>
      </w:pPr>
      <w:r>
        <w:t xml:space="preserve">We keep the plot focused on the target trajectory, because the model-comparison</w:t>
      </w:r>
      <w:r>
        <w:t xml:space="preserve"> </w:t>
      </w:r>
      <w:r>
        <w:t xml:space="preserve">notebooks after this one reuse the same visual convention.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0-stock-close-regression_files/d0f6c66a06a1df5adcbb60d2ea0f6dbfc0a27e3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4.312106 0.01930004 -1.041467</w:t>
      </w:r>
    </w:p>
    <w:p>
      <w:pPr>
        <w:pStyle w:val="FirstParagraph"/>
      </w:pPr>
      <w:r>
        <w:t xml:space="preserve">We can now compare the direct closing-price baseline against the multivariate</w:t>
      </w:r>
      <w:r>
        <w:t xml:space="preserve"> </w:t>
      </w:r>
      <w:r>
        <w:t xml:space="preserve">workflow on the same five-step horizon.</w:t>
      </w:r>
    </w:p>
    <w:p>
      <w:pPr>
        <w:pStyle w:val="SourceCode"/>
      </w:pP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ARIMA_close =</w:t>
      </w:r>
      <w:r>
        <w:rPr>
          <w:rStyle w:val="NormalTok"/>
        </w:rPr>
        <w:t xml:space="preserve"> ev_arima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MV_mixed =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mse      smape        R2</w:t>
      </w:r>
      <w:r>
        <w:br/>
      </w:r>
      <w:r>
        <w:rPr>
          <w:rStyle w:val="VerbatimChar"/>
        </w:rPr>
        <w:t xml:space="preserve">## ARIMA_close 6.768766 0.02329364 -2.204515</w:t>
      </w:r>
      <w:r>
        <w:br/>
      </w:r>
      <w:r>
        <w:rPr>
          <w:rStyle w:val="VerbatimChar"/>
        </w:rPr>
        <w:t xml:space="preserve">## MV_mixed    4.312106 0.01930004 -1.041467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provides a natural target-centered multivariate scenario with non-deterministic auxiliary variables.</w:t>
      </w:r>
      <w:r>
        <w:t xml:space="preserve"> </w:t>
      </w:r>
      <w:r>
        <w:t xml:space="preserve">- A direct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on the closing price remains an important baseline and should be checked before moving to a richer multivariate design.</w:t>
      </w:r>
      <w:r>
        <w:t xml:space="preserve"> </w:t>
      </w:r>
      <w:r>
        <w:t xml:space="preserve">- Auxiliary variables do not need to share the same learner: some can use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, others can use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.</w:t>
      </w:r>
      <w:r>
        <w:t xml:space="preserve"> </w:t>
      </w:r>
      <w:r>
        <w:t xml:space="preserve">- The prediction object is still target-centered, but it preserves the endogenous auxiliary forecasts through</w:t>
      </w:r>
      <w:r>
        <w:t xml:space="preserve"> </w:t>
      </w:r>
      <w:r>
        <w:rPr>
          <w:rStyle w:val="VerbatimChar"/>
        </w:rPr>
        <w:t xml:space="preserve">attr(pred, "prediction_x")</w:t>
      </w:r>
      <w:r>
        <w:t xml:space="preserve"> </w:t>
      </w:r>
      <w:r>
        <w:t xml:space="preserve">and the full synchronized forecast through</w:t>
      </w:r>
      <w:r>
        <w:t xml:space="preserve"> </w:t>
      </w:r>
      <w:r>
        <w:rPr>
          <w:rStyle w:val="VerbatimChar"/>
        </w:rPr>
        <w:t xml:space="preserve">attr(pred, "system")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are useful support models for the target-centered multivariate workflow because they already live in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lineage.</w:t>
      </w:r>
      <w:r>
        <w:t xml:space="preserve"> </w:t>
      </w:r>
      <w:r>
        <w:t xml:space="preserve">- This is a different scenario from the previous deterministic-auxiliary example: here the auxiliary variables must themselves be forecast as evolving stochastic series.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2026-09-19T08:40:14Z</dcterms:created>
  <dcterms:modified xsi:type="dcterms:W3CDTF">2026-09-19T08:40:14Z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