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2b650c08b8fea8821e0b0f13237dd793cbb466"/>
    <w:p>
      <w:pPr>
        <w:pStyle w:val="Heading2"/>
      </w:pPr>
      <w:r>
        <w:t xml:space="preserve">Stock Closing-Price Forecasting with KNN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continues the stock-closing-price scenario from the previous notebook.</w:t>
      </w:r>
      <w:r>
        <w:t xml:space="preserve"> </w:t>
      </w:r>
      <w:r>
        <w:t xml:space="preserve">- The multivariate setting is kept fixed,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ts_knn()</w:t>
      </w:r>
      <w:r>
        <w:t xml:space="preserve">.</w:t>
      </w:r>
    </w:p>
    <w:p>
      <w:pPr>
        <w:pStyle w:val="BodyText"/>
      </w:pPr>
      <w:r>
        <w:t xml:space="preserve">Didactic goal: inspect how the KNN regressor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KNN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keep the same stock scenario, but for a faster didactic run we retain only</w:t>
      </w:r>
      <w:r>
        <w:t xml:space="preserve"> </w:t>
      </w:r>
      <w:r>
        <w:t xml:space="preserve">the last two years of valid observations.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(mv,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open  high   low   volume</w:t>
      </w:r>
      <w:r>
        <w:br/>
      </w:r>
      <w:r>
        <w:rPr>
          <w:rStyle w:val="VerbatimChar"/>
        </w:rPr>
        <w:t xml:space="preserve">## 6057 65.72 65.99 66.14 65.51 12497900</w:t>
      </w:r>
      <w:r>
        <w:br/>
      </w:r>
      <w:r>
        <w:rPr>
          <w:rStyle w:val="VerbatimChar"/>
        </w:rPr>
        <w:t xml:space="preserve">## 6058 65.51 65.50 65.87 65.04 17360200</w:t>
      </w:r>
      <w:r>
        <w:br/>
      </w:r>
      <w:r>
        <w:rPr>
          <w:rStyle w:val="VerbatimChar"/>
        </w:rPr>
        <w:t xml:space="preserve">## 6059 68.00 66.49 68.32 66.34 40947100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(ticker)</w:t>
      </w:r>
    </w:p>
    <w:p>
      <w:pPr>
        <w:pStyle w:val="SourceCode"/>
      </w:pPr>
      <w:r>
        <w:rPr>
          <w:rStyle w:val="VerbatimChar"/>
        </w:rPr>
        <w:t xml:space="preserve">## [1] 498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From this point on, the stock examples follow the same experimental line:</w:t>
      </w:r>
    </w:p>
    <w:p>
      <w:pPr>
        <w:pStyle w:val="Compact"/>
        <w:numPr>
          <w:ilvl w:val="0"/>
          <w:numId w:val="1001"/>
        </w:numPr>
      </w:pPr>
      <w:r>
        <w:t xml:space="preserve">keep the same dataset, split, and window size</w:t>
      </w:r>
    </w:p>
    <w:p>
      <w:pPr>
        <w:pStyle w:val="Compact"/>
        <w:numPr>
          <w:ilvl w:val="0"/>
          <w:numId w:val="1001"/>
        </w:numPr>
      </w:pPr>
      <w:r>
        <w:t xml:space="preserve">change only the learner family</w:t>
      </w:r>
    </w:p>
    <w:p>
      <w:pPr>
        <w:pStyle w:val="Compact"/>
        <w:numPr>
          <w:ilvl w:val="0"/>
          <w:numId w:val="1001"/>
        </w:numPr>
      </w:pPr>
      <w:r>
        <w:t xml:space="preserve">use the same learner family for the target and for all endogenous auxiliaries</w:t>
      </w:r>
    </w:p>
    <w:p>
      <w:pPr>
        <w:pStyle w:val="Compact"/>
        <w:numPr>
          <w:ilvl w:val="0"/>
          <w:numId w:val="1001"/>
        </w:numPr>
      </w:pPr>
      <w:r>
        <w:t xml:space="preserve">inspect</w:t>
      </w:r>
      <w:r>
        <w:t xml:space="preserve"> </w:t>
      </w:r>
      <w:r>
        <w:rPr>
          <w:rStyle w:val="VerbatimChar"/>
        </w:rPr>
        <w:t xml:space="preserve">pred_1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pred_5</w:t>
      </w:r>
      <w:r>
        <w:t xml:space="preserve">, the synchronized forecast table, the target plot,</w:t>
      </w:r>
      <w:r>
        <w:t xml:space="preserve"> </w:t>
      </w:r>
      <w:r>
        <w:t xml:space="preserve">and the target metrics</w:t>
      </w:r>
    </w:p>
    <w:p>
      <w:pPr>
        <w:pStyle w:val="FirstParagraph"/>
      </w:pPr>
      <w:r>
        <w:t xml:space="preserve">To keep the example easier to understand, the endogenous auxiliary variables use</w:t>
      </w:r>
      <w:r>
        <w:t xml:space="preserve"> </w:t>
      </w:r>
      <w:r>
        <w:t xml:space="preserve">the same model family as the target learner. Only the variable roles change.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85.51667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85.28333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23460867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open  high      low   volume</w:t>
      </w:r>
      <w:r>
        <w:br/>
      </w:r>
      <w:r>
        <w:rPr>
          <w:rStyle w:val="VerbatimChar"/>
        </w:rPr>
        <w:t xml:space="preserve">## 1 85.51667 86.03 87.75 85.28333 23460867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85.51667 85.51667 85.51667 85.51667 85.51667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86.03 86.03 86.03 86.03 86.03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87.75 87.75 87.75 87.75 87.75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85.28333 84.95000 84.95000 84.95000 84.95000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23460867 18097367 19815867 20675567 20406133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open  high      low   volume</w:t>
      </w:r>
      <w:r>
        <w:br/>
      </w:r>
      <w:r>
        <w:rPr>
          <w:rStyle w:val="VerbatimChar"/>
        </w:rPr>
        <w:t xml:space="preserve">## 1 85.51667 86.03 87.75 85.28333 23460867</w:t>
      </w:r>
      <w:r>
        <w:br/>
      </w:r>
      <w:r>
        <w:rPr>
          <w:rStyle w:val="VerbatimChar"/>
        </w:rPr>
        <w:t xml:space="preserve">## 2 85.51667 86.03 87.75 84.95000 18097367</w:t>
      </w:r>
      <w:r>
        <w:br/>
      </w:r>
      <w:r>
        <w:rPr>
          <w:rStyle w:val="VerbatimChar"/>
        </w:rPr>
        <w:t xml:space="preserve">## 3 85.51667 86.03 87.75 84.95000 19815867</w:t>
      </w:r>
      <w:r>
        <w:br/>
      </w:r>
      <w:r>
        <w:rPr>
          <w:rStyle w:val="VerbatimChar"/>
        </w:rPr>
        <w:t xml:space="preserve">## 4 85.51667 86.03 87.75 84.95000 20675567</w:t>
      </w:r>
      <w:r>
        <w:br/>
      </w:r>
      <w:r>
        <w:rPr>
          <w:rStyle w:val="VerbatimChar"/>
        </w:rPr>
        <w:t xml:space="preserve">## 5 85.51667 86.03 87.75 84.95000 20406133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open  high      low   volume</w:t>
      </w:r>
      <w:r>
        <w:br/>
      </w:r>
      <w:r>
        <w:rPr>
          <w:rStyle w:val="VerbatimChar"/>
        </w:rPr>
        <w:t xml:space="preserve">## 1 85.51667 86.03 87.75 85.28333 23460867</w:t>
      </w:r>
      <w:r>
        <w:br/>
      </w:r>
      <w:r>
        <w:rPr>
          <w:rStyle w:val="VerbatimChar"/>
        </w:rPr>
        <w:t xml:space="preserve">## 2 85.51667 86.03 87.75 84.95000 18097367</w:t>
      </w:r>
      <w:r>
        <w:br/>
      </w:r>
      <w:r>
        <w:rPr>
          <w:rStyle w:val="VerbatimChar"/>
        </w:rPr>
        <w:t xml:space="preserve">## 3 85.51667 86.03 87.75 84.95000 19815867</w:t>
      </w:r>
      <w:r>
        <w:br/>
      </w:r>
      <w:r>
        <w:rPr>
          <w:rStyle w:val="VerbatimChar"/>
        </w:rPr>
        <w:t xml:space="preserve">## 4 85.51667 86.03 87.75 84.95000 20675567</w:t>
      </w:r>
      <w:r>
        <w:br/>
      </w:r>
      <w:r>
        <w:rPr>
          <w:rStyle w:val="VerbatimChar"/>
        </w:rPr>
        <w:t xml:space="preserve">## 5 85.51667 86.03 87.75 84.95000 20406133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6.295635 0.02349538 -1.980523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1-stock-close-knn-regression_files/15465108fe96c52c8d64527c262fd775cd044a6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ts_knn()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2026-09-19T08:40:15Z</dcterms:created>
  <dcterms:modified xsi:type="dcterms:W3CDTF">2026-09-19T08:40:15Z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