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ca1f3dd88e95082fbcefb107ebe3d4cdecc5499"/>
    <w:p>
      <w:pPr>
        <w:pStyle w:val="Heading2"/>
      </w:pPr>
      <w:r>
        <w:t xml:space="preserve">Stock Closing-Price Forecasting with MLP as Target Learner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This example keeps the same stock-closing-price scenario, but now the target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forecast with</w:t>
      </w:r>
      <w:r>
        <w:t xml:space="preserve"> </w:t>
      </w:r>
      <w:r>
        <w:rPr>
          <w:rStyle w:val="VerbatimChar"/>
        </w:rPr>
        <w:t xml:space="preserve">ts_mlp()</w:t>
      </w:r>
      <w:r>
        <w:t xml:space="preserve">.</w:t>
      </w:r>
    </w:p>
    <w:p>
      <w:pPr>
        <w:pStyle w:val="BodyText"/>
      </w:pPr>
      <w:r>
        <w:t xml:space="preserve">Didactic goal: inspect how a multilayer perceptron behaves as the target learner inside the target-centered multivariate 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Stock closing-price forecasting with MLP as target learner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(stocks)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(stocks,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stocks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(stocks)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ticker_name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(stocks)) </w:t>
      </w:r>
      <w:r>
        <w:rPr>
          <w:rStyle w:val="StringTok"/>
        </w:rPr>
        <w:t xml:space="preserve">"VALE3"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(stocks)[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stocks[[ticker_name]]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(ticker)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(ticker, open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high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low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ticker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ticker[ticker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cutoff_date, 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ticker[,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close,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ts_regsw_mv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models_x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ts_mv_spec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85.71934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86.00116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87.49194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85.52673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23156233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85.71934 86.00116 87.49194 85.52673 23156233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85.71934 86.72840 86.81184 86.14814 86.02339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"close"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"open"   "high"   "low"    "volume"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"close"  "open"   "high"   "low"    "volume"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attr(,"prediction_x")$open</w:t>
      </w:r>
      <w:r>
        <w:br/>
      </w:r>
      <w:r>
        <w:rPr>
          <w:rStyle w:val="VerbatimChar"/>
        </w:rPr>
        <w:t xml:space="preserve">## [1] 86.00116 85.19367 85.60119 86.40139 85.80143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attr(,"prediction_x")$high</w:t>
      </w:r>
      <w:r>
        <w:br/>
      </w:r>
      <w:r>
        <w:rPr>
          <w:rStyle w:val="VerbatimChar"/>
        </w:rPr>
        <w:t xml:space="preserve">## [1] 87.49194 88.53915 88.59214 88.13705 87.80729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attr(,"prediction_x")$low</w:t>
      </w:r>
      <w:r>
        <w:br/>
      </w:r>
      <w:r>
        <w:rPr>
          <w:rStyle w:val="VerbatimChar"/>
        </w:rPr>
        <w:t xml:space="preserve">## [1] 85.52673 85.92770 85.33525 85.90062 85.78070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attr(,"prediction_x")$volume</w:t>
      </w:r>
      <w:r>
        <w:br/>
      </w:r>
      <w:r>
        <w:rPr>
          <w:rStyle w:val="VerbatimChar"/>
        </w:rPr>
        <w:t xml:space="preserve">## [1] 23156233 29050471 27906794 26263887 24386466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85.71934 86.00116 87.49194 85.52673 23156233</w:t>
      </w:r>
      <w:r>
        <w:br/>
      </w:r>
      <w:r>
        <w:rPr>
          <w:rStyle w:val="VerbatimChar"/>
        </w:rPr>
        <w:t xml:space="preserve">## 2 86.72840 85.19367 88.53915 85.92770 29050471</w:t>
      </w:r>
      <w:r>
        <w:br/>
      </w:r>
      <w:r>
        <w:rPr>
          <w:rStyle w:val="VerbatimChar"/>
        </w:rPr>
        <w:t xml:space="preserve">## 3 86.81184 85.60119 88.59214 85.33525 27906794</w:t>
      </w:r>
      <w:r>
        <w:br/>
      </w:r>
      <w:r>
        <w:rPr>
          <w:rStyle w:val="VerbatimChar"/>
        </w:rPr>
        <w:t xml:space="preserve">## 4 86.14814 86.40139 88.13705 85.90062 26263887</w:t>
      </w:r>
      <w:r>
        <w:br/>
      </w:r>
      <w:r>
        <w:rPr>
          <w:rStyle w:val="VerbatimChar"/>
        </w:rPr>
        <w:t xml:space="preserve">## 5 86.02339 85.80143 87.80729 85.78070 24386466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close     open     high      low   volume</w:t>
      </w:r>
      <w:r>
        <w:br/>
      </w:r>
      <w:r>
        <w:rPr>
          <w:rStyle w:val="VerbatimChar"/>
        </w:rPr>
        <w:t xml:space="preserve">## 1 85.71934 86.00116 87.49194 85.52673 23156233</w:t>
      </w:r>
      <w:r>
        <w:br/>
      </w:r>
      <w:r>
        <w:rPr>
          <w:rStyle w:val="VerbatimChar"/>
        </w:rPr>
        <w:t xml:space="preserve">## 2 86.72840 85.19367 88.53915 85.92770 29050471</w:t>
      </w:r>
      <w:r>
        <w:br/>
      </w:r>
      <w:r>
        <w:rPr>
          <w:rStyle w:val="VerbatimChar"/>
        </w:rPr>
        <w:t xml:space="preserve">## 3 86.81184 85.60119 88.59214 85.33525 27906794</w:t>
      </w:r>
      <w:r>
        <w:br/>
      </w:r>
      <w:r>
        <w:rPr>
          <w:rStyle w:val="VerbatimChar"/>
        </w:rPr>
        <w:t xml:space="preserve">## 4 86.14814 86.40139 88.13705 85.90062 26263887</w:t>
      </w:r>
      <w:r>
        <w:br/>
      </w:r>
      <w:r>
        <w:rPr>
          <w:rStyle w:val="VerbatimChar"/>
        </w:rPr>
        <w:t xml:space="preserve">## 5 86.02339 85.80143 87.80729 85.78070 24386466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4.010121 0.01863371 -0.898499</w:t>
      </w:r>
    </w:p>
    <w:p>
      <w:pPr>
        <w:pStyle w:val="SourceCode"/>
      </w:pPr>
      <w:r>
        <w:rPr>
          <w:rStyle w:val="FunctionTok"/>
        </w:rPr>
        <w:t xml:space="preserve">plot_ts_pred_mv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pred_5,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multivariate/doc/14-stock-close-mlp-regression_files/e4f2ae6d9f0482d8b99779f154235ccf045aff9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ts_mlp()</w:t>
      </w:r>
      <w:r>
        <w:t xml:space="preserve"> </w:t>
      </w:r>
      <w:r>
        <w:t xml:space="preserve">can be reused directly as the target learner inside</w:t>
      </w:r>
      <w:r>
        <w:t xml:space="preserve"> </w:t>
      </w:r>
      <w:r>
        <w:rPr>
          <w:rStyle w:val="VerbatimChar"/>
        </w:rPr>
        <w:t xml:space="preserve">ts_regsw_mv()</w:t>
      </w:r>
      <w:r>
        <w:t xml:space="preserve">.</w:t>
      </w:r>
      <w:r>
        <w:t xml:space="preserve"> </w:t>
      </w:r>
      <w:r>
        <w:t xml:space="preserve">- The same learner family can be reused for the target and for all endogenous auxiliaries when the goal is a cleaner didactic comparison.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2026-09-19T08:40:20Z</dcterms:created>
  <dcterms:modified xsi:type="dcterms:W3CDTF">2026-09-19T08:40:20Z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