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55e5f2b04557d67082577f3b8a83afe5a8e7e48"/>
    <w:p>
      <w:pPr>
        <w:pStyle w:val="Heading2"/>
      </w:pPr>
      <w:r>
        <w:t xml:space="preserve">Stock Closing-Price Forecasting with Singular Multivariate Linear Regression</w:t>
      </w:r>
    </w:p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 This example starts a second stock-model battery, now in the singular multivariate branch.</w:t>
      </w:r>
      <w:r>
        <w:t xml:space="preserve"> </w:t>
      </w:r>
      <w:r>
        <w:t xml:space="preserve">- The target remains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, but the model is</w:t>
      </w:r>
      <w:r>
        <w:t xml:space="preserve"> </w:t>
      </w:r>
      <w:r>
        <w:rPr>
          <w:rStyle w:val="VerbatimChar"/>
        </w:rPr>
        <w:t xml:space="preserve">ts_lm_mv()</w:t>
      </w:r>
      <w:r>
        <w:t xml:space="preserve"> </w:t>
      </w:r>
      <w:r>
        <w:t xml:space="preserve">over aligned observations with</w:t>
      </w:r>
      <w:r>
        <w:t xml:space="preserve"> </w:t>
      </w:r>
      <w:r>
        <w:rPr>
          <w:rStyle w:val="VerbatimChar"/>
        </w:rPr>
        <w:t xml:space="preserve">sw = 1</w:t>
      </w:r>
      <w:r>
        <w:t xml:space="preserve">.</w:t>
      </w:r>
    </w:p>
    <w:p>
      <w:pPr>
        <w:pStyle w:val="BodyText"/>
      </w:pPr>
      <w:r>
        <w:t xml:space="preserve">Didactic goal: inspect how the singular multivariate branch behaves on the same stock scenario used in the sliding-window battery.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Stock closing-price forecasting with singular multivariate linear regression</w:t>
      </w:r>
      <w:r>
        <w:br/>
      </w:r>
      <w:r>
        <w:br/>
      </w:r>
      <w:r>
        <w:rPr>
          <w:rStyle w:val="CommentTok"/>
        </w:rPr>
        <w:t xml:space="preserve"># Installing packages (if needed)</w:t>
      </w:r>
      <w:r>
        <w:br/>
      </w:r>
      <w:r>
        <w:rPr>
          <w:rStyle w:val="CommentTok"/>
        </w:rPr>
        <w:t xml:space="preserve"># install.packages("tspredit")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FirstParagraph"/>
      </w:pPr>
      <w:r>
        <w:t xml:space="preserve">We keep the same stock scenario used in the sliding-window battery, including</w:t>
      </w:r>
      <w:r>
        <w:t xml:space="preserve"> </w:t>
      </w:r>
      <w:r>
        <w:t xml:space="preserve">the same two-year recorte and the same target-centered definition of the</w:t>
      </w:r>
      <w:r>
        <w:t xml:space="preserve"> </w:t>
      </w:r>
      <w:r>
        <w:t xml:space="preserve">variables.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(stocks)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(stocks,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))) {</w:t>
      </w:r>
      <w:r>
        <w:br/>
      </w:r>
      <w:r>
        <w:rPr>
          <w:rStyle w:val="NormalTok"/>
        </w:rPr>
        <w:t xml:space="preserve">  stocks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(stocks)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ticker_name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"VALE3"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(stocks)) </w:t>
      </w:r>
      <w:r>
        <w:rPr>
          <w:rStyle w:val="StringTok"/>
        </w:rPr>
        <w:t xml:space="preserve">"VALE3"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(stocks)[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stocks[[ticker_name]]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ticker[,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(ticker)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(ticker, open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high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low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volume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cutoff_date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(ticker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ticker[ticker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cutoff_date, ]</w:t>
      </w:r>
      <w:r>
        <w:br/>
      </w:r>
      <w:r>
        <w:br/>
      </w:r>
      <w:r>
        <w:rPr>
          <w:rStyle w:val="NormalTok"/>
        </w:rPr>
        <w:t xml:space="preserve">mv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ts_data_mv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ticker[,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(mv,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close,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In the singular linear-regression case, the future auxiliary values are taken</w:t>
      </w:r>
      <w:r>
        <w:t xml:space="preserve"> </w:t>
      </w:r>
      <w:r>
        <w:t xml:space="preserve">directly from the aligned test rows. This makes the structural relation between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 </w:t>
      </w:r>
      <w:r>
        <w:t xml:space="preserve">and the auxiliary variables explicit.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ts_lm_mv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close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open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high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low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volume)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</w:p>
    <w:p>
      <w:pPr>
        <w:pStyle w:val="SourceCode"/>
      </w:pPr>
      <w:r>
        <w:rPr>
          <w:rStyle w:val="NormalTok"/>
        </w:rPr>
        <w:t xml:space="preserve">pred_1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pred_1</w:t>
      </w:r>
    </w:p>
    <w:p>
      <w:pPr>
        <w:pStyle w:val="SourceCode"/>
      </w:pPr>
      <w:r>
        <w:rPr>
          <w:rStyle w:val="VerbatimChar"/>
        </w:rPr>
        <w:t xml:space="preserve">## [1] 88.34744</w:t>
      </w:r>
      <w:r>
        <w:br/>
      </w:r>
      <w:r>
        <w:rPr>
          <w:rStyle w:val="VerbatimChar"/>
        </w:rPr>
        <w:t xml:space="preserve">## attr(,"y_name")</w:t>
      </w:r>
      <w:r>
        <w:br/>
      </w:r>
      <w:r>
        <w:rPr>
          <w:rStyle w:val="VerbatimChar"/>
        </w:rPr>
        <w:t xml:space="preserve">## [1] "close"</w:t>
      </w:r>
      <w:r>
        <w:br/>
      </w:r>
      <w:r>
        <w:rPr>
          <w:rStyle w:val="VerbatimChar"/>
        </w:rPr>
        <w:t xml:space="preserve">## attr(,"x_names")</w:t>
      </w:r>
      <w:r>
        <w:br/>
      </w:r>
      <w:r>
        <w:rPr>
          <w:rStyle w:val="VerbatimChar"/>
        </w:rPr>
        <w:t xml:space="preserve">## [1] "open"   "high"   "low"    "volume"</w:t>
      </w:r>
      <w:r>
        <w:br/>
      </w:r>
      <w:r>
        <w:rPr>
          <w:rStyle w:val="VerbatimChar"/>
        </w:rPr>
        <w:t xml:space="preserve">## attr(,"variables")</w:t>
      </w:r>
      <w:r>
        <w:br/>
      </w:r>
      <w:r>
        <w:rPr>
          <w:rStyle w:val="VerbatimChar"/>
        </w:rPr>
        <w:t xml:space="preserve">## [1] "close"  "open"   "high"   "low"    "volume"</w:t>
      </w:r>
      <w:r>
        <w:br/>
      </w:r>
      <w:r>
        <w:rPr>
          <w:rStyle w:val="VerbatimChar"/>
        </w:rPr>
        <w:t xml:space="preserve">## attr(,"steps_ahead")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attr(,"prediction_x")</w:t>
      </w:r>
      <w:r>
        <w:br/>
      </w:r>
      <w:r>
        <w:rPr>
          <w:rStyle w:val="VerbatimChar"/>
        </w:rPr>
        <w:t xml:space="preserve">## attr(,"prediction_x")$open</w:t>
      </w:r>
      <w:r>
        <w:br/>
      </w:r>
      <w:r>
        <w:rPr>
          <w:rStyle w:val="VerbatimChar"/>
        </w:rPr>
        <w:t xml:space="preserve">## [1] 86.42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attr(,"prediction_x")$high</w:t>
      </w:r>
      <w:r>
        <w:br/>
      </w:r>
      <w:r>
        <w:rPr>
          <w:rStyle w:val="VerbatimChar"/>
        </w:rPr>
        <w:t xml:space="preserve">## [1] 89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attr(,"prediction_x")$low</w:t>
      </w:r>
      <w:r>
        <w:br/>
      </w:r>
      <w:r>
        <w:rPr>
          <w:rStyle w:val="VerbatimChar"/>
        </w:rPr>
        <w:t xml:space="preserve">## [1] 86.42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attr(,"prediction_x")$volume</w:t>
      </w:r>
      <w:r>
        <w:br/>
      </w:r>
      <w:r>
        <w:rPr>
          <w:rStyle w:val="VerbatimChar"/>
        </w:rPr>
        <w:t xml:space="preserve">## [1] 37709700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attr(,"system")</w:t>
      </w:r>
      <w:r>
        <w:br/>
      </w:r>
      <w:r>
        <w:rPr>
          <w:rStyle w:val="VerbatimChar"/>
        </w:rPr>
        <w:t xml:space="preserve">##      close  open high   low   volume</w:t>
      </w:r>
      <w:r>
        <w:br/>
      </w:r>
      <w:r>
        <w:rPr>
          <w:rStyle w:val="VerbatimChar"/>
        </w:rPr>
        <w:t xml:space="preserve">## 1 88.34744 86.42   89 86.42 37709700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"ts_mv_prediction" "numeric"</w:t>
      </w:r>
    </w:p>
    <w:p>
      <w:pPr>
        <w:pStyle w:val="SourceCode"/>
      </w:pPr>
      <w:r>
        <w:rPr>
          <w:rStyle w:val="NormalTok"/>
        </w:rPr>
        <w:t xml:space="preserve">pred_5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pred_5</w:t>
      </w:r>
    </w:p>
    <w:p>
      <w:pPr>
        <w:pStyle w:val="SourceCode"/>
      </w:pPr>
      <w:r>
        <w:rPr>
          <w:rStyle w:val="VerbatimChar"/>
        </w:rPr>
        <w:t xml:space="preserve">## [1] 88.34744 88.54710 87.22328 86.23007 85.64975</w:t>
      </w:r>
      <w:r>
        <w:br/>
      </w:r>
      <w:r>
        <w:rPr>
          <w:rStyle w:val="VerbatimChar"/>
        </w:rPr>
        <w:t xml:space="preserve">## attr(,"y_name")</w:t>
      </w:r>
      <w:r>
        <w:br/>
      </w:r>
      <w:r>
        <w:rPr>
          <w:rStyle w:val="VerbatimChar"/>
        </w:rPr>
        <w:t xml:space="preserve">## [1] "close"</w:t>
      </w:r>
      <w:r>
        <w:br/>
      </w:r>
      <w:r>
        <w:rPr>
          <w:rStyle w:val="VerbatimChar"/>
        </w:rPr>
        <w:t xml:space="preserve">## attr(,"x_names")</w:t>
      </w:r>
      <w:r>
        <w:br/>
      </w:r>
      <w:r>
        <w:rPr>
          <w:rStyle w:val="VerbatimChar"/>
        </w:rPr>
        <w:t xml:space="preserve">## [1] "open"   "high"   "low"    "volume"</w:t>
      </w:r>
      <w:r>
        <w:br/>
      </w:r>
      <w:r>
        <w:rPr>
          <w:rStyle w:val="VerbatimChar"/>
        </w:rPr>
        <w:t xml:space="preserve">## attr(,"variables")</w:t>
      </w:r>
      <w:r>
        <w:br/>
      </w:r>
      <w:r>
        <w:rPr>
          <w:rStyle w:val="VerbatimChar"/>
        </w:rPr>
        <w:t xml:space="preserve">## [1] "close"  "open"   "high"   "low"    "volume"</w:t>
      </w:r>
      <w:r>
        <w:br/>
      </w:r>
      <w:r>
        <w:rPr>
          <w:rStyle w:val="VerbatimChar"/>
        </w:rPr>
        <w:t xml:space="preserve">## attr(,"steps_ahead")</w:t>
      </w:r>
      <w:r>
        <w:br/>
      </w:r>
      <w:r>
        <w:rPr>
          <w:rStyle w:val="VerbatimChar"/>
        </w:rPr>
        <w:t xml:space="preserve">## [1] 5</w:t>
      </w:r>
      <w:r>
        <w:br/>
      </w:r>
      <w:r>
        <w:rPr>
          <w:rStyle w:val="VerbatimChar"/>
        </w:rPr>
        <w:t xml:space="preserve">## attr(,"prediction_x")</w:t>
      </w:r>
      <w:r>
        <w:br/>
      </w:r>
      <w:r>
        <w:rPr>
          <w:rStyle w:val="VerbatimChar"/>
        </w:rPr>
        <w:t xml:space="preserve">## attr(,"prediction_x")$open</w:t>
      </w:r>
      <w:r>
        <w:br/>
      </w:r>
      <w:r>
        <w:rPr>
          <w:rStyle w:val="VerbatimChar"/>
        </w:rPr>
        <w:t xml:space="preserve">## [1] 86.42 88.51 87.99 86.41 86.65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attr(,"prediction_x")$high</w:t>
      </w:r>
      <w:r>
        <w:br/>
      </w:r>
      <w:r>
        <w:rPr>
          <w:rStyle w:val="VerbatimChar"/>
        </w:rPr>
        <w:t xml:space="preserve">## [1] 89.00 89.59 88.93 87.56 87.68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attr(,"prediction_x")$low</w:t>
      </w:r>
      <w:r>
        <w:br/>
      </w:r>
      <w:r>
        <w:rPr>
          <w:rStyle w:val="VerbatimChar"/>
        </w:rPr>
        <w:t xml:space="preserve">## [1] 86.42 87.55 86.24 85.20 84.63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attr(,"prediction_x")$volume</w:t>
      </w:r>
      <w:r>
        <w:br/>
      </w:r>
      <w:r>
        <w:rPr>
          <w:rStyle w:val="VerbatimChar"/>
        </w:rPr>
        <w:t xml:space="preserve">## [1] 37709700 51744400 57049000 28889600 26531100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attr(,"system")</w:t>
      </w:r>
      <w:r>
        <w:br/>
      </w:r>
      <w:r>
        <w:rPr>
          <w:rStyle w:val="VerbatimChar"/>
        </w:rPr>
        <w:t xml:space="preserve">##      close  open  high   low   volume</w:t>
      </w:r>
      <w:r>
        <w:br/>
      </w:r>
      <w:r>
        <w:rPr>
          <w:rStyle w:val="VerbatimChar"/>
        </w:rPr>
        <w:t xml:space="preserve">## 1 88.34744 86.42 89.00 86.42 37709700</w:t>
      </w:r>
      <w:r>
        <w:br/>
      </w:r>
      <w:r>
        <w:rPr>
          <w:rStyle w:val="VerbatimChar"/>
        </w:rPr>
        <w:t xml:space="preserve">## 2 88.54710 88.51 89.59 87.55 51744400</w:t>
      </w:r>
      <w:r>
        <w:br/>
      </w:r>
      <w:r>
        <w:rPr>
          <w:rStyle w:val="VerbatimChar"/>
        </w:rPr>
        <w:t xml:space="preserve">## 3 87.22328 87.99 88.93 86.24 57049000</w:t>
      </w:r>
      <w:r>
        <w:br/>
      </w:r>
      <w:r>
        <w:rPr>
          <w:rStyle w:val="VerbatimChar"/>
        </w:rPr>
        <w:t xml:space="preserve">## 4 86.23007 86.41 87.56 85.20 28889600</w:t>
      </w:r>
      <w:r>
        <w:br/>
      </w:r>
      <w:r>
        <w:rPr>
          <w:rStyle w:val="VerbatimChar"/>
        </w:rPr>
        <w:t xml:space="preserve">## 5 85.64975 86.65 87.68 84.63 26531100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"ts_mv_prediction" "numeric"</w:t>
      </w:r>
    </w:p>
    <w:p>
      <w:pPr>
        <w:pStyle w:val="SourceCode"/>
      </w:pPr>
      <w:r>
        <w:rPr>
          <w:rStyle w:val="FunctionTok"/>
        </w:rPr>
        <w:t xml:space="preserve">attr</w:t>
      </w:r>
      <w:r>
        <w:rPr>
          <w:rStyle w:val="NormalTok"/>
        </w:rPr>
        <w:t xml:space="preserve">(pred_5,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close  open  high   low   volume</w:t>
      </w:r>
      <w:r>
        <w:br/>
      </w:r>
      <w:r>
        <w:rPr>
          <w:rStyle w:val="VerbatimChar"/>
        </w:rPr>
        <w:t xml:space="preserve">## 1 88.34744 86.42 89.00 86.42 37709700</w:t>
      </w:r>
      <w:r>
        <w:br/>
      </w:r>
      <w:r>
        <w:rPr>
          <w:rStyle w:val="VerbatimChar"/>
        </w:rPr>
        <w:t xml:space="preserve">## 2 88.54710 88.51 89.59 87.55 51744400</w:t>
      </w:r>
      <w:r>
        <w:br/>
      </w:r>
      <w:r>
        <w:rPr>
          <w:rStyle w:val="VerbatimChar"/>
        </w:rPr>
        <w:t xml:space="preserve">## 3 87.22328 87.99 88.93 86.24 57049000</w:t>
      </w:r>
      <w:r>
        <w:br/>
      </w:r>
      <w:r>
        <w:rPr>
          <w:rStyle w:val="VerbatimChar"/>
        </w:rPr>
        <w:t xml:space="preserve">## 4 86.23007 86.41 87.56 85.20 28889600</w:t>
      </w:r>
      <w:r>
        <w:br/>
      </w:r>
      <w:r>
        <w:rPr>
          <w:rStyle w:val="VerbatimChar"/>
        </w:rPr>
        <w:t xml:space="preserve">## 5 85.64975 86.65 87.68 84.63 26531100</w:t>
      </w:r>
    </w:p>
    <w:p>
      <w:pPr>
        <w:pStyle w:val="SourceCode"/>
      </w:pP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pred_5)</w:t>
      </w:r>
      <w:r>
        <w:br/>
      </w:r>
      <w:r>
        <w:rPr>
          <w:rStyle w:val="NormalTok"/>
        </w:rPr>
        <w:t xml:space="preserve">ev_test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 mse      smape        R2</w:t>
      </w:r>
      <w:r>
        <w:br/>
      </w:r>
      <w:r>
        <w:rPr>
          <w:rStyle w:val="VerbatimChar"/>
        </w:rPr>
        <w:t xml:space="preserve">## 1 0.9813773 0.01045094 0.5353897</w:t>
      </w:r>
    </w:p>
    <w:p>
      <w:pPr>
        <w:pStyle w:val="SourceCode"/>
      </w:pPr>
      <w:r>
        <w:rPr>
          <w:rStyle w:val="FunctionTok"/>
        </w:rPr>
        <w:t xml:space="preserve">plot_ts_pred_mv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train,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test, pred_5,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multivariate/doc/19-stock-close-linear-regression-mv_files/c440dd0a95654140b1a7d20e62ad5de0a48cabc6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What this example shows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ts_lm_mv()</w:t>
      </w:r>
      <w:r>
        <w:t xml:space="preserve"> </w:t>
      </w:r>
      <w:r>
        <w:t xml:space="preserve">can be applied to the same stock scenario as the sliding-window battery, but in the aligned singular branch.</w:t>
      </w:r>
      <w:r>
        <w:t xml:space="preserve"> </w:t>
      </w:r>
      <w:r>
        <w:t xml:space="preserve">- The linear-regression formulation makes the relation between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 </w:t>
      </w:r>
      <w:r>
        <w:t xml:space="preserve">and the auxiliaries explicit through a formula.</w:t>
      </w:r>
      <w:r>
        <w:t xml:space="preserve"> </w:t>
      </w:r>
      <w:r>
        <w:t xml:space="preserve">- In this singular case, the future auxiliary values are supplied directly from the held-out aligned observations.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2026-09-19T08:40:34Z</dcterms:created>
  <dcterms:modified xsi:type="dcterms:W3CDTF">2026-09-19T08:40:34Z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