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no-normalization"/>
    <w:p>
      <w:pPr>
        <w:pStyle w:val="Heading2"/>
      </w:pPr>
      <w:r>
        <w:t xml:space="preserve">No Normalization</w:t>
      </w:r>
    </w:p>
    <w:p>
      <w:pPr>
        <w:pStyle w:val="FirstParagraph"/>
      </w:pPr>
      <w:r>
        <w:t xml:space="preserve">About the technique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ts_norm_none()</w:t>
      </w:r>
      <w:r>
        <w:t xml:space="preserve"> </w:t>
      </w:r>
      <w:r>
        <w:t xml:space="preserve">leaves the numerical scale unchanged.</w:t>
      </w:r>
    </w:p>
    <w:p>
      <w:pPr>
        <w:pStyle w:val="Compact"/>
        <w:numPr>
          <w:ilvl w:val="0"/>
          <w:numId w:val="1001"/>
        </w:numPr>
      </w:pPr>
      <w:r>
        <w:t xml:space="preserve">Its role is to establish whether a predictor already works well on the raw scale before introducing transformations.</w:t>
      </w:r>
    </w:p>
    <w:p>
      <w:pPr>
        <w:pStyle w:val="FirstParagraph"/>
      </w:pPr>
      <w:r>
        <w:t xml:space="preserve">Didactic goal: use the raw series as the baseline for judging later normalization strategies.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No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The first plot shows the original series. This is the common visual reference</w:t>
      </w:r>
      <w:r>
        <w:t xml:space="preserve"> </w:t>
      </w:r>
      <w:r>
        <w:t xml:space="preserve">for all normalization examples in this folder.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1-no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</w:t>
      </w:r>
      <w:r>
        <w:t xml:space="preserve"> </w:t>
      </w:r>
      <w:r>
        <w:t xml:space="preserve">representation used by the later transformations and models.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We now keep the values unchanged and compare the supervised target column</w:t>
      </w:r>
      <w:r>
        <w:t xml:space="preserve"> </w:t>
      </w:r>
      <w:r>
        <w:t xml:space="preserve">(</w:t>
      </w:r>
      <w:r>
        <w:rPr>
          <w:rStyle w:val="VerbatimChar"/>
        </w:rPr>
        <w:t xml:space="preserve">t0</w:t>
      </w:r>
      <w:r>
        <w:t xml:space="preserve">) before and after the transformation.</w:t>
      </w:r>
    </w:p>
    <w:p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ts_norm_none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SourceCode"/>
      </w:pPr>
      <w:r>
        <w:rPr>
          <w:rStyle w:val="NormalTok"/>
        </w:rPr>
        <w:t xml:space="preserve">compare_t0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(tst)),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(tst[,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(tst)]),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1-no-normalization_files/80b4ee9487bdd99586fadb8814508b1296175a1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</w:p>
    <w:p>
      <w:pPr>
        <w:pStyle w:val="Compact"/>
        <w:numPr>
          <w:ilvl w:val="0"/>
          <w:numId w:val="1002"/>
        </w:numPr>
      </w:pPr>
      <w:r>
        <w:t xml:space="preserve">The two curves should overlap completely.</w:t>
      </w:r>
    </w:p>
    <w:p>
      <w:pPr>
        <w:pStyle w:val="Compact"/>
        <w:numPr>
          <w:ilvl w:val="0"/>
          <w:numId w:val="1002"/>
        </w:numPr>
      </w:pPr>
      <w:r>
        <w:t xml:space="preserve">This file is the baseline reference for the other normalization examples.</w:t>
      </w:r>
    </w:p>
    <w:p>
      <w:pPr>
        <w:pStyle w:val="FirstParagraph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C. M. Bishop (2006). Pattern Recognition and Machine Learning. Springer.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2026-09-19T08:40:37Z</dcterms:created>
  <dcterms:modified xsi:type="dcterms:W3CDTF">2026-09-19T08:40:37Z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