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  <Override PartName="/word/media/rId1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adaptive-normalization-visual-comparison"/>
    <w:p>
      <w:pPr>
        <w:pStyle w:val="Heading2"/>
      </w:pPr>
      <w:r>
        <w:t xml:space="preserve">Adaptive Normalization Visual Comparison</w:t>
      </w:r>
    </w:p>
    <w:p>
      <w:pPr>
        <w:pStyle w:val="FirstParagraph"/>
      </w:pPr>
      <w:r>
        <w:t xml:space="preserve">This notebook compares the main adaptive normalization operators on synthetic</w:t>
      </w:r>
      <w:r>
        <w:t xml:space="preserve"> </w:t>
      </w:r>
      <w:r>
        <w:t xml:space="preserve">series designed to stress different theoretical axes of the method.</w:t>
      </w:r>
    </w:p>
    <w:p>
      <w:pPr>
        <w:pStyle w:val="BodyText"/>
      </w:pPr>
      <w:r>
        <w:t xml:space="preserve">What you will learn</w:t>
      </w:r>
    </w:p>
    <w:p>
      <w:pPr>
        <w:pStyle w:val="Compact"/>
        <w:numPr>
          <w:ilvl w:val="0"/>
          <w:numId w:val="1001"/>
        </w:numPr>
      </w:pPr>
      <w:r>
        <w:t xml:space="preserve">How divisive normalization reacts when the adaptive level is close to zero</w:t>
      </w:r>
    </w:p>
    <w:p>
      <w:pPr>
        <w:pStyle w:val="Compact"/>
        <w:numPr>
          <w:ilvl w:val="0"/>
          <w:numId w:val="1001"/>
        </w:numPr>
      </w:pPr>
      <w:r>
        <w:t xml:space="preserve">How subtractive normalization behaves under changing amplitude</w:t>
      </w:r>
    </w:p>
    <w:p>
      <w:pPr>
        <w:pStyle w:val="Compact"/>
        <w:numPr>
          <w:ilvl w:val="0"/>
          <w:numId w:val="1001"/>
        </w:numPr>
      </w:pPr>
      <w:r>
        <w:t xml:space="preserve">How</w:t>
      </w:r>
      <w:r>
        <w:t xml:space="preserve"> </w:t>
      </w:r>
      <w:r>
        <w:rPr>
          <w:rStyle w:val="VerbatimChar"/>
        </w:rPr>
        <w:t xml:space="preserve">softdivide</w:t>
      </w:r>
      <w:r>
        <w:t xml:space="preserve"> </w:t>
      </w:r>
      <w:r>
        <w:t xml:space="preserve">interpolates between additive and relative behavior</w:t>
      </w:r>
    </w:p>
    <w:p>
      <w:pPr>
        <w:pStyle w:val="Compact"/>
        <w:numPr>
          <w:ilvl w:val="0"/>
          <w:numId w:val="1001"/>
        </w:numPr>
      </w:pPr>
      <w:r>
        <w:t xml:space="preserve">How</w:t>
      </w:r>
      <w:r>
        <w:t xml:space="preserve"> </w:t>
      </w:r>
      <w:r>
        <w:rPr>
          <w:rStyle w:val="VerbatimChar"/>
        </w:rPr>
        <w:t xml:space="preserve">asinh</w:t>
      </w:r>
      <w:r>
        <w:t xml:space="preserve"> </w:t>
      </w:r>
      <w:r>
        <w:t xml:space="preserve">changes the geometry of local deviations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"https://raw.githubusercontent.com/cefet-rj-dal/tspredit/main/examples/seed.R"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Adaptive Normalization Visual Comparison</w:t>
      </w:r>
      <w:r>
        <w:br/>
      </w:r>
      <w:r>
        <w:br/>
      </w:r>
      <w:r>
        <w:rPr>
          <w:rStyle w:val="CommentTok"/>
        </w:rPr>
        <w:t xml:space="preserve"># Installing the package (if needed)</w:t>
      </w:r>
      <w:r>
        <w:br/>
      </w:r>
      <w:r>
        <w:rPr>
          <w:rStyle w:val="CommentTok"/>
        </w:rPr>
        <w:t xml:space="preserve">#install.packages("tspredit")</w:t>
      </w:r>
    </w:p>
    <w:p>
      <w:pPr>
        <w:pStyle w:val="FirstParagraph"/>
      </w:pPr>
      <w:r>
        <w:t xml:space="preserve">We load the packages required by this example.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(tspredit)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</w:p>
    <w:p>
      <w:pPr>
        <w:pStyle w:val="FirstParagraph"/>
      </w:pPr>
      <w:r>
        <w:t xml:space="preserve">We build four synthetic series, each emphasizing one regime where the</w:t>
      </w:r>
      <w:r>
        <w:t xml:space="preserve"> </w:t>
      </w:r>
      <w:r>
        <w:t xml:space="preserve">normalizers behave differently.</w:t>
      </w:r>
    </w:p>
    <w:p>
      <w:pPr>
        <w:pStyle w:val="SourceCode"/>
      </w:pP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br/>
      </w: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(n)</w:t>
      </w:r>
      <w:r>
        <w:br/>
      </w:r>
      <w:r>
        <w:br/>
      </w:r>
      <w:r>
        <w:rPr>
          <w:rStyle w:val="NormalTok"/>
        </w:rPr>
        <w:t xml:space="preserve">synthetic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near_zero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level_shift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heteroscedastic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mixed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1.8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n)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n))</w:t>
      </w:r>
      <w:r>
        <w:br/>
      </w:r>
      <w:r>
        <w:rPr>
          <w:rStyle w:val="NormalTok"/>
        </w:rPr>
        <w:t xml:space="preserve">)</w:t>
      </w:r>
    </w:p>
    <w:bookmarkEnd w:id="9"/>
    <w:bookmarkStart w:id="19" w:name="comparison-strategy"/>
    <w:p>
      <w:pPr>
        <w:pStyle w:val="Heading2"/>
      </w:pPr>
      <w:r>
        <w:t xml:space="preserve">Comparison Strategy</w:t>
      </w:r>
    </w:p>
    <w:p>
      <w:pPr>
        <w:pStyle w:val="FirstParagraph"/>
      </w:pPr>
      <w:r>
        <w:t xml:space="preserve">To keep the comparison fair, every operator uses the same sliding-window view.</w:t>
      </w:r>
      <w:r>
        <w:t xml:space="preserve"> </w:t>
      </w:r>
      <w:r>
        <w:t xml:space="preserve">We inspect the operators in two complementary ways:</w:t>
      </w:r>
    </w:p>
    <w:p>
      <w:pPr>
        <w:pStyle w:val="Compact"/>
        <w:numPr>
          <w:ilvl w:val="0"/>
          <w:numId w:val="1002"/>
        </w:numPr>
      </w:pPr>
      <w:r>
        <w:t xml:space="preserve">a fixed anchor window, so we can compare the transformed lag profile directly</w:t>
      </w:r>
    </w:p>
    <w:p>
      <w:pPr>
        <w:pStyle w:val="Compact"/>
        <w:numPr>
          <w:ilvl w:val="0"/>
          <w:numId w:val="1002"/>
        </w:numPr>
      </w:pPr>
      <w:r>
        <w:t xml:space="preserve">the transformed target dimension (</w:t>
      </w:r>
      <w:r>
        <w:rPr>
          <w:rStyle w:val="VerbatimChar"/>
        </w:rPr>
        <w:t xml:space="preserve">t0</w:t>
      </w:r>
      <w:r>
        <w:t xml:space="preserve">) across time, which is the signal most</w:t>
      </w:r>
      <w:r>
        <w:t xml:space="preserve"> </w:t>
      </w:r>
      <w:r>
        <w:t xml:space="preserve">directly consumed by the supervised pipeline</w:t>
      </w:r>
    </w:p>
    <w:p>
      <w:pPr>
        <w:pStyle w:val="FirstParagraph"/>
      </w:pPr>
      <w:r>
        <w:t xml:space="preserve">In the current</w:t>
      </w:r>
      <w:r>
        <w:t xml:space="preserve"> </w:t>
      </w:r>
      <w:r>
        <w:rPr>
          <w:rStyle w:val="VerbatimChar"/>
        </w:rPr>
        <w:t xml:space="preserve">ts_norm_an()</w:t>
      </w:r>
      <w:r>
        <w:t xml:space="preserve"> </w:t>
      </w:r>
      <w:r>
        <w:t xml:space="preserve">contract, the adaptive reference is estimated on</w:t>
      </w:r>
      <w:r>
        <w:t xml:space="preserve"> </w:t>
      </w:r>
      <w:r>
        <w:t xml:space="preserve">the full supervised window, not only on the lagged inputs. So every curve below</w:t>
      </w:r>
      <w:r>
        <w:t xml:space="preserve"> </w:t>
      </w:r>
      <w:r>
        <w:t xml:space="preserve">reflects the complete window-wise transformation that the operator applies in</w:t>
      </w:r>
      <w:r>
        <w:t xml:space="preserve"> </w:t>
      </w:r>
      <w:r>
        <w:t xml:space="preserve">practice.</w:t>
      </w:r>
    </w:p>
    <w:p>
      <w:pPr>
        <w:pStyle w:val="BodyText"/>
      </w:pPr>
      <w:r>
        <w:t xml:space="preserve">This separation matters. If we only plot the transformed target across time,</w:t>
      </w:r>
      <w:r>
        <w:t xml:space="preserve"> </w:t>
      </w:r>
      <w:r>
        <w:t xml:space="preserve">the comparison becomes hard to read because each operator is reacting to a</w:t>
      </w:r>
      <w:r>
        <w:t xml:space="preserve"> </w:t>
      </w:r>
      <w:r>
        <w:t xml:space="preserve">different local window at each time step. The anchor-window plot removes this</w:t>
      </w:r>
      <w:r>
        <w:t xml:space="preserve"> </w:t>
      </w:r>
      <w:r>
        <w:t xml:space="preserve">confounding factor and answers a simpler question: how do the operators</w:t>
      </w:r>
      <w:r>
        <w:t xml:space="preserve"> </w:t>
      </w:r>
      <w:r>
        <w:t xml:space="preserve">transform the same local pattern?</w:t>
      </w:r>
    </w:p>
    <w:p>
      <w:pPr>
        <w:pStyle w:val="SourceCode"/>
      </w:pPr>
      <w:r>
        <w:rPr>
          <w:rStyle w:val="NormalTok"/>
        </w:rPr>
        <w:t xml:space="preserve">ops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ts_norm_an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outliers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operation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"divide"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subtract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ts_norm_an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outliers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operation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"subtract"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softdivide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ts_norm_an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outliers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operation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"softdivide"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scale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asinh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ts_norm_an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outliers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operation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"asinh"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scale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anchor_row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(series_name, tsw)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(series_name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"level_shift"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(tsw)))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(tsw)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collect_window_profiles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series_name) {</w:t>
      </w:r>
      <w:r>
        <w:br/>
      </w:r>
      <w:r>
        <w:rPr>
          <w:rStyle w:val="NormalTok"/>
        </w:rPr>
        <w:t xml:space="preserve">  tsw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ts_data</w:t>
      </w:r>
      <w:r>
        <w:rPr>
          <w:rStyle w:val="NormalTok"/>
        </w:rPr>
        <w:t xml:space="preserve">(y,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anchor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anchor_row</w:t>
      </w:r>
      <w:r>
        <w:rPr>
          <w:rStyle w:val="NormalTok"/>
        </w:rPr>
        <w:t xml:space="preserve">(series_name, tsw)</w:t>
      </w:r>
      <w:r>
        <w:br/>
      </w:r>
      <w:r>
        <w:rPr>
          <w:rStyle w:val="NormalTok"/>
        </w:rPr>
        <w:t xml:space="preserve">  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(op_name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(ops)) {</w:t>
      </w:r>
      <w:r>
        <w:br/>
      </w:r>
      <w:r>
        <w:rPr>
          <w:rStyle w:val="NormalTok"/>
        </w:rPr>
        <w:t xml:space="preserve">    preproc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(ops[[op_name]], tsw)</w:t>
      </w:r>
      <w:r>
        <w:br/>
      </w:r>
      <w:r>
        <w:rPr>
          <w:rStyle w:val="NormalTok"/>
        </w:rPr>
        <w:t xml:space="preserve">    yt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(preproc, tsw)</w:t>
      </w:r>
      <w:r>
        <w:br/>
      </w:r>
      <w:r>
        <w:rPr>
          <w:rStyle w:val="NormalTok"/>
        </w:rPr>
        <w:t xml:space="preserve">    yw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yt[anchor, , drop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out,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lag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(yt),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(yt)),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(yw),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operator =</w:t>
      </w:r>
      <w:r>
        <w:rPr>
          <w:rStyle w:val="NormalTok"/>
        </w:rPr>
        <w:t xml:space="preserve"> op_name,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series_name</w:t>
      </w:r>
      <w:r>
        <w:br/>
      </w:r>
      <w:r>
        <w:rPr>
          <w:rStyle w:val="NormalTok"/>
        </w:rPr>
        <w:t xml:space="preserve">      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out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collect_t0_transforms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series_name) {</w:t>
      </w:r>
      <w:r>
        <w:br/>
      </w:r>
      <w:r>
        <w:rPr>
          <w:rStyle w:val="NormalTok"/>
        </w:rPr>
        <w:t xml:space="preserve">  tsw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ts_data</w:t>
      </w:r>
      <w:r>
        <w:rPr>
          <w:rStyle w:val="NormalTok"/>
        </w:rPr>
        <w:t xml:space="preserve">(y,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(op_name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(ops)) {</w:t>
      </w:r>
      <w:r>
        <w:br/>
      </w:r>
      <w:r>
        <w:rPr>
          <w:rStyle w:val="NormalTok"/>
        </w:rPr>
        <w:t xml:space="preserve">    preproc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ops[[op_name]]</w:t>
      </w:r>
      <w:r>
        <w:br/>
      </w:r>
      <w:r>
        <w:rPr>
          <w:rStyle w:val="NormalTok"/>
        </w:rPr>
        <w:t xml:space="preserve">    preproc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(preproc, tsw)</w:t>
      </w:r>
      <w:r>
        <w:br/>
      </w:r>
      <w:r>
        <w:rPr>
          <w:rStyle w:val="NormalTok"/>
        </w:rPr>
        <w:t xml:space="preserve">    yt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(preproc, tsw)</w:t>
      </w:r>
      <w:r>
        <w:br/>
      </w:r>
      <w:r>
        <w:rPr>
          <w:rStyle w:val="NormalTok"/>
        </w:rPr>
        <w:t xml:space="preserve">    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out,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idx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(yt)),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(yt[, </w:t>
      </w:r>
      <w:r>
        <w:rPr>
          <w:rStyle w:val="FunctionTok"/>
        </w:rPr>
        <w:t xml:space="preserve">ncol</w:t>
      </w:r>
      <w:r>
        <w:rPr>
          <w:rStyle w:val="NormalTok"/>
        </w:rPr>
        <w:t xml:space="preserve">(yt)]),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operator =</w:t>
      </w:r>
      <w:r>
        <w:rPr>
          <w:rStyle w:val="NormalTok"/>
        </w:rPr>
        <w:t xml:space="preserve"> op_name,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series_name</w:t>
      </w:r>
      <w:r>
        <w:br/>
      </w:r>
      <w:r>
        <w:rPr>
          <w:rStyle w:val="NormalTok"/>
        </w:rPr>
        <w:t xml:space="preserve">      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out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window_profiles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(collect_window_profiles, synthetic,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(synthetic))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comparison_t0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(collect_t0_transforms, synthetic,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(synthetic))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This plot compares one fixed window per series after the full adaptive</w:t>
      </w:r>
      <w:r>
        <w:t xml:space="preserve"> </w:t>
      </w:r>
      <w:r>
        <w:t xml:space="preserve">normalization pipeline has been applied, including the internal global min-max</w:t>
      </w:r>
      <w:r>
        <w:t xml:space="preserve"> </w:t>
      </w:r>
      <w:r>
        <w:t xml:space="preserve">scaling. It is the clearest way to see how each operator transforms the same</w:t>
      </w:r>
      <w:r>
        <w:t xml:space="preserve"> </w:t>
      </w:r>
      <w:r>
        <w:t xml:space="preserve">lag profile while keeping the vertical scale comparable.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(window_profiles,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lag,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operator,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operator))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series,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1" name="Picture"/>
            <a:graphic>
              <a:graphicData uri="http://schemas.openxmlformats.org/drawingml/2006/picture">
                <pic:pic>
                  <pic:nvPicPr>
                    <pic:cNvPr descr="/home/gpca/tspredit/examples/normalization/doc/09-adaptive-normalization-comparison_files/ff812d373d031ad7d7dbf4dacd5e36cd6763b7a4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16" w:name="X4a489b66c20a4702e2b7d0ee698ea5ed8c791e5"/>
    <w:p>
      <w:pPr>
        <w:pStyle w:val="Heading3"/>
      </w:pPr>
      <w:r>
        <w:t xml:space="preserve">What To Look For In The Fixed-Window Plot</w:t>
      </w:r>
    </w:p>
    <w:p>
      <w:pPr>
        <w:pStyle w:val="FirstParagraph"/>
      </w:pPr>
      <w:r>
        <w:rPr>
          <w:b/>
          <w:bCs/>
        </w:rPr>
        <w:t xml:space="preserve">Near-zero regime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divide</w:t>
      </w:r>
      <w:r>
        <w:t xml:space="preserve"> </w:t>
      </w:r>
      <w:r>
        <w:t xml:space="preserve">can become very aggressive because small adaptive levels amplify the ratio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subtract</w:t>
      </w:r>
      <w:r>
        <w:t xml:space="preserve"> </w:t>
      </w:r>
      <w:r>
        <w:t xml:space="preserve">stays stable because it only removes the local level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softdivide</w:t>
      </w:r>
      <w:r>
        <w:t xml:space="preserve"> </w:t>
      </w:r>
      <w:r>
        <w:t xml:space="preserve">should stay closer to</w:t>
      </w:r>
      <w:r>
        <w:t xml:space="preserve"> </w:t>
      </w:r>
      <w:r>
        <w:rPr>
          <w:rStyle w:val="VerbatimChar"/>
        </w:rPr>
        <w:t xml:space="preserve">subtract</w:t>
      </w:r>
      <w:r>
        <w:t xml:space="preserve"> </w:t>
      </w:r>
      <w:r>
        <w:t xml:space="preserve">here than to</w:t>
      </w:r>
      <w:r>
        <w:t xml:space="preserve"> </w:t>
      </w:r>
      <w:r>
        <w:rPr>
          <w:rStyle w:val="VerbatimChar"/>
        </w:rPr>
        <w:t xml:space="preserve">divide</w:t>
      </w:r>
    </w:p>
    <w:p>
      <w:pPr>
        <w:pStyle w:val="FirstParagraph"/>
      </w:pPr>
      <w:r>
        <w:rPr>
          <w:b/>
          <w:bCs/>
        </w:rPr>
        <w:t xml:space="preserve">Level-shift regime</w:t>
      </w:r>
    </w:p>
    <w:p>
      <w:pPr>
        <w:pStyle w:val="Compact"/>
        <w:numPr>
          <w:ilvl w:val="0"/>
          <w:numId w:val="1004"/>
        </w:numPr>
      </w:pPr>
      <w:r>
        <w:t xml:space="preserve">the main question is how the operators encode an abrupt change in local level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divide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softdivide</w:t>
      </w:r>
      <w:r>
        <w:t xml:space="preserve"> </w:t>
      </w:r>
      <w:r>
        <w:t xml:space="preserve">can look similar if the level term dominates the reference scale</w:t>
      </w:r>
    </w:p>
    <w:p>
      <w:pPr>
        <w:pStyle w:val="FirstParagraph"/>
      </w:pPr>
      <w:r>
        <w:rPr>
          <w:b/>
          <w:bCs/>
        </w:rPr>
        <w:t xml:space="preserve">Heteroscedastic regime</w:t>
      </w:r>
    </w:p>
    <w:p>
      <w:pPr>
        <w:pStyle w:val="Compact"/>
        <w:numPr>
          <w:ilvl w:val="0"/>
          <w:numId w:val="1005"/>
        </w:numPr>
      </w:pPr>
      <w:r>
        <w:t xml:space="preserve">the key question is whether similar oscillations at different amplitudes become more comparable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subtract</w:t>
      </w:r>
      <w:r>
        <w:t xml:space="preserve"> </w:t>
      </w:r>
      <w:r>
        <w:t xml:space="preserve">removes level but does not directly normalize scale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divide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softdivide</w:t>
      </w:r>
      <w:r>
        <w:t xml:space="preserve"> </w:t>
      </w:r>
      <w:r>
        <w:t xml:space="preserve">should compress amplitude differences more strongly</w:t>
      </w:r>
    </w:p>
    <w:p>
      <w:pPr>
        <w:pStyle w:val="FirstParagraph"/>
      </w:pPr>
      <w:r>
        <w:rPr>
          <w:b/>
          <w:bCs/>
        </w:rPr>
        <w:t xml:space="preserve">Mixed regime</w:t>
      </w:r>
    </w:p>
    <w:p>
      <w:pPr>
        <w:pStyle w:val="Compact"/>
        <w:numPr>
          <w:ilvl w:val="0"/>
          <w:numId w:val="1006"/>
        </w:numPr>
      </w:pPr>
      <w:r>
        <w:t xml:space="preserve">this combines drift, oscillation, and changing variance</w:t>
      </w:r>
    </w:p>
    <w:p>
      <w:pPr>
        <w:pStyle w:val="Compact"/>
        <w:numPr>
          <w:ilvl w:val="0"/>
          <w:numId w:val="1006"/>
        </w:numPr>
      </w:pPr>
      <w:r>
        <w:t xml:space="preserve">it is the best block to inspect overall trade-offs rather than a single ideal behavior</w:t>
      </w:r>
    </w:p>
    <w:p>
      <w:pPr>
        <w:pStyle w:val="FirstParagraph"/>
      </w:pPr>
      <w:r>
        <w:t xml:space="preserve">This second plot compares the transformed target dimension (</w:t>
      </w:r>
      <w:r>
        <w:rPr>
          <w:rStyle w:val="VerbatimChar"/>
        </w:rPr>
        <w:t xml:space="preserve">t0</w:t>
      </w:r>
      <w:r>
        <w:t xml:space="preserve">) across time.</w:t>
      </w:r>
      <w:r>
        <w:t xml:space="preserve"> </w:t>
      </w:r>
      <w:r>
        <w:t xml:space="preserve">It is still useful, but it becomes easier to read after seeing the fixed-window</w:t>
      </w:r>
      <w:r>
        <w:t xml:space="preserve"> </w:t>
      </w:r>
      <w:r>
        <w:t xml:space="preserve">comparison above.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(comparison_t0,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idx,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operator))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series,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4" name="Picture"/>
            <a:graphic>
              <a:graphicData uri="http://schemas.openxmlformats.org/drawingml/2006/picture">
                <pic:pic>
                  <pic:nvPicPr>
                    <pic:cNvPr descr="/home/gpca/tspredit/examples/normalization/doc/09-adaptive-normalization-comparison_files/289f98bb91c51e47b106942af00c831702c67e63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6"/>
    <w:bookmarkStart w:id="17" w:name="what-to-look-for-in-the-t0-plot"/>
    <w:p>
      <w:pPr>
        <w:pStyle w:val="Heading3"/>
      </w:pPr>
      <w:r>
        <w:t xml:space="preserve">What To Look For In The</w:t>
      </w:r>
      <w:r>
        <w:t xml:space="preserve"> </w:t>
      </w:r>
      <w:r>
        <w:rPr>
          <w:rStyle w:val="VerbatimChar"/>
        </w:rPr>
        <w:t xml:space="preserve">t0</w:t>
      </w:r>
      <w:r>
        <w:t xml:space="preserve"> </w:t>
      </w:r>
      <w:r>
        <w:t xml:space="preserve">Plot</w:t>
      </w:r>
    </w:p>
    <w:p>
      <w:pPr>
        <w:pStyle w:val="Compact"/>
        <w:numPr>
          <w:ilvl w:val="0"/>
          <w:numId w:val="1007"/>
        </w:numPr>
      </w:pPr>
      <w:r>
        <w:t xml:space="preserve">This plot shows how the final supervised target changes over time after normalization.</w:t>
      </w:r>
    </w:p>
    <w:p>
      <w:pPr>
        <w:pStyle w:val="Compact"/>
        <w:numPr>
          <w:ilvl w:val="0"/>
          <w:numId w:val="1007"/>
        </w:numPr>
      </w:pPr>
      <w:r>
        <w:t xml:space="preserve">It is useful for understanding temporal stability, but it is less direct than the fixed-window comparison.</w:t>
      </w:r>
    </w:p>
    <w:p>
      <w:pPr>
        <w:pStyle w:val="Compact"/>
        <w:numPr>
          <w:ilvl w:val="0"/>
          <w:numId w:val="1007"/>
        </w:numPr>
      </w:pPr>
      <w:r>
        <w:t xml:space="preserve">If two operators look close here, that does not necessarily mean they are identical. It may only mean that, for that series and that time range, both induce similar transformed targets.</w:t>
      </w:r>
    </w:p>
    <w:bookmarkEnd w:id="17"/>
    <w:bookmarkStart w:id="18" w:name="why-some-curves-can-look-similar"/>
    <w:p>
      <w:pPr>
        <w:pStyle w:val="Heading3"/>
      </w:pPr>
      <w:r>
        <w:t xml:space="preserve">Why Some Curves Can Look Similar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divide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softdivide</w:t>
      </w:r>
      <w:r>
        <w:t xml:space="preserve"> </w:t>
      </w:r>
      <w:r>
        <w:t xml:space="preserve">can look close when the adaptive level dominates the local scale term. In that regime,</w:t>
      </w:r>
      <w:r>
        <w:t xml:space="preserve"> </w:t>
      </w:r>
      <w:r>
        <w:rPr>
          <w:rStyle w:val="VerbatimChar"/>
        </w:rPr>
        <w:t xml:space="preserve">softdivide</w:t>
      </w:r>
      <w:r>
        <w:t xml:space="preserve"> </w:t>
      </w:r>
      <w:r>
        <w:t xml:space="preserve">approaches divisive behavior.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softdivide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asinh</w:t>
      </w:r>
      <w:r>
        <w:t xml:space="preserve"> </w:t>
      </w:r>
      <w:r>
        <w:t xml:space="preserve">can also look close when the normalized deviations stay in a moderate range, because</w:t>
      </w:r>
      <w:r>
        <w:t xml:space="preserve"> </w:t>
      </w:r>
      <w:r>
        <w:rPr>
          <w:rStyle w:val="VerbatimChar"/>
        </w:rPr>
        <w:t xml:space="preserve">asinh(z)</w:t>
      </w:r>
      <w:r>
        <w:t xml:space="preserve"> </w:t>
      </w:r>
      <w:r>
        <w:t xml:space="preserve">behaves almost linearly around the origin.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near_zero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heteroscedastic</w:t>
      </w:r>
      <w:r>
        <w:t xml:space="preserve"> </w:t>
      </w:r>
      <w:r>
        <w:t xml:space="preserve">blocks are usually the most informative ones for separating the four operators visually.</w:t>
      </w:r>
    </w:p>
    <w:bookmarkEnd w:id="18"/>
    <w:bookmarkEnd w:id="19"/>
    <w:bookmarkStart w:id="22" w:name="reading-summary"/>
    <w:p>
      <w:pPr>
        <w:pStyle w:val="Heading2"/>
      </w:pPr>
      <w:r>
        <w:t xml:space="preserve">Reading Summary</w:t>
      </w:r>
    </w:p>
    <w:p>
      <w:pPr>
        <w:pStyle w:val="FirstParagraph"/>
      </w:pPr>
      <w:r>
        <w:t xml:space="preserve">If you want a quick reading of the comparison, focus on these questions:</w:t>
      </w:r>
    </w:p>
    <w:p>
      <w:pPr>
        <w:pStyle w:val="Compact"/>
        <w:numPr>
          <w:ilvl w:val="0"/>
          <w:numId w:val="1009"/>
        </w:numPr>
      </w:pPr>
      <w:r>
        <w:t xml:space="preserve">Which operator stays stable when the local level is close to zero?</w:t>
      </w:r>
    </w:p>
    <w:p>
      <w:pPr>
        <w:pStyle w:val="Compact"/>
        <w:numPr>
          <w:ilvl w:val="0"/>
          <w:numId w:val="1009"/>
        </w:numPr>
      </w:pPr>
      <w:r>
        <w:t xml:space="preserve">Which operator best preserves comparability across changing amplitudes?</w:t>
      </w:r>
    </w:p>
    <w:p>
      <w:pPr>
        <w:pStyle w:val="Compact"/>
        <w:numPr>
          <w:ilvl w:val="0"/>
          <w:numId w:val="1009"/>
        </w:numPr>
      </w:pPr>
      <w:r>
        <w:t xml:space="preserve">Which operator produces the smoothest compromise between additive and relative behavior?</w:t>
      </w:r>
    </w:p>
    <w:p>
      <w:pPr>
        <w:pStyle w:val="FirstParagraph"/>
      </w:pPr>
      <w:r>
        <w:t xml:space="preserve">In most practical cases: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subtract</w:t>
      </w:r>
      <w:r>
        <w:t xml:space="preserve"> </w:t>
      </w:r>
      <w:r>
        <w:t xml:space="preserve">is the safest additive baseline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divide</w:t>
      </w:r>
      <w:r>
        <w:t xml:space="preserve"> </w:t>
      </w:r>
      <w:r>
        <w:t xml:space="preserve">is the strongest relative normalizer, but it is fragile near zero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softdivide</w:t>
      </w:r>
      <w:r>
        <w:t xml:space="preserve"> </w:t>
      </w:r>
      <w:r>
        <w:t xml:space="preserve">is the main compromise operator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asinh</w:t>
      </w:r>
      <w:r>
        <w:t xml:space="preserve"> </w:t>
      </w:r>
      <w:r>
        <w:t xml:space="preserve">is the smooth nonlinear alternative when you want a bridge between additive and multiplicative interpretations</w:t>
      </w:r>
    </w:p>
    <w:p>
      <w:pPr>
        <w:pStyle w:val="FirstParagraph"/>
      </w:pPr>
      <w:r>
        <w:t xml:space="preserve">References</w:t>
      </w:r>
    </w:p>
    <w:p>
      <w:pPr>
        <w:numPr>
          <w:ilvl w:val="0"/>
          <w:numId w:val="1011"/>
        </w:numPr>
      </w:pPr>
      <w:r>
        <w:t xml:space="preserve">Ogasawara, E., Martinez, L. C., De Oliveira, D., Zimbrão, G., Pappa, G. L., Mattoso, M. (2010).</w:t>
      </w:r>
      <w:r>
        <w:t xml:space="preserve"> </w:t>
      </w:r>
      <w:r>
        <w:t xml:space="preserve">Adaptive Normalization: A novel data normalization approach for non-stationary time series.</w:t>
      </w:r>
      <w:r>
        <w:t xml:space="preserve"> </w:t>
      </w:r>
      <w:r>
        <w:t xml:space="preserve">Proceedings of the International Joint Conference on Neural Networks (IJCNN).</w:t>
      </w:r>
      <w:r>
        <w:t xml:space="preserve"> </w:t>
      </w:r>
      <w:hyperlink r:id="rId20">
        <w:r>
          <w:rPr>
            <w:rStyle w:val="Hyperlink"/>
          </w:rPr>
          <w:t xml:space="preserve">doi:10.1109/IJCNN.2010.5596746</w:t>
        </w:r>
      </w:hyperlink>
    </w:p>
    <w:p>
      <w:pPr>
        <w:numPr>
          <w:ilvl w:val="0"/>
          <w:numId w:val="1011"/>
        </w:numPr>
      </w:pPr>
      <w:r>
        <w:t xml:space="preserve">Huber, P. J. (1964). Robust Estimation of a Location Parameter.</w:t>
      </w:r>
      <w:r>
        <w:t xml:space="preserve"> </w:t>
      </w:r>
      <w:r>
        <w:t xml:space="preserve">Annals of Mathematical Statistics, 35(1), 73-101.</w:t>
      </w:r>
      <w:r>
        <w:t xml:space="preserve"> </w:t>
      </w:r>
      <w:hyperlink r:id="rId21">
        <w:r>
          <w:rPr>
            <w:rStyle w:val="Hyperlink"/>
          </w:rPr>
          <w:t xml:space="preserve">doi:10.1214/aoms/1177703732</w:t>
        </w:r>
      </w:hyperlink>
    </w:p>
    <w:p>
      <w:pPr>
        <w:numPr>
          <w:ilvl w:val="0"/>
          <w:numId w:val="1011"/>
        </w:numPr>
      </w:pPr>
      <w:r>
        <w:t xml:space="preserve">Burbidge, J. B., Magee, L., Robb, A. L. (1988). Alternative Transformations to Handle Extreme Values of the Dependent Variable.</w:t>
      </w:r>
      <w:r>
        <w:t xml:space="preserve"> </w:t>
      </w:r>
      <w:r>
        <w:t xml:space="preserve">Journal of the American Statistical Association, 83(401), 123-127.</w:t>
      </w:r>
    </w:p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Relationship Type="http://schemas.openxmlformats.org/officeDocument/2006/relationships/image" Id="rId10" Target="media/rId10.png" /><Relationship Type="http://schemas.openxmlformats.org/officeDocument/2006/relationships/hyperlink" Id="rId20" Target="doi:10.1109/IJCNN.2010.5596746" TargetMode="External" /><Relationship Type="http://schemas.openxmlformats.org/officeDocument/2006/relationships/hyperlink" Id="rId21" Target="doi:10.1214/aoms/1177703732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doi:10.1109/IJCNN.2010.5596746" TargetMode="External" /><Relationship Type="http://schemas.openxmlformats.org/officeDocument/2006/relationships/hyperlink" Id="rId21" Target="doi:10.1214/aoms/1177703732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2026-09-19T08:40:45Z</dcterms:created>
  <dcterms:modified xsi:type="dcterms:W3CDTF">2026-09-19T08:40:45Z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