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lm-regression"/>
    <w:p>
      <w:pPr>
        <w:pStyle w:val="Heading2"/>
      </w:pPr>
      <w:r>
        <w:t xml:space="preserve">ELM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Extreme Learning Machines use a single hidden layer with randomly assigned hidden weights and a fast output-layer fit.</w:t>
      </w:r>
      <w:r>
        <w:t xml:space="preserve"> </w:t>
      </w:r>
      <w:r>
        <w:t xml:space="preserve">- They are attractive when you want a neural model with much cheaper training than iterative backpropagation.</w:t>
      </w:r>
    </w:p>
    <w:p>
      <w:pPr>
        <w:pStyle w:val="BodyText"/>
      </w:pPr>
      <w:r>
        <w:t xml:space="preserve">Didactic goal: compare a fast neural regressor with the more conventional MLP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ELM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6-elm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prepare the preprocessing object that will normalize the inputs before the model is trained.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elm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ELM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2.445432e-27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2.130585e-12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3.675509e-25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3.675509e-25 2.130585e-12  1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6-elm-regression_files/8b80f3fc3183b1a78886824c696a4340bdb89e3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G.-B. Huang, Q.-Y. Zhu, and C.-K. Siew (2006). Extreme learning machine: Theory and applications. Neurocomputing, 70(1–3), 489–501.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2026-09-19T08:40:54Z</dcterms:created>
  <dcterms:modified xsi:type="dcterms:W3CDTF">2026-09-19T08:40:54Z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