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hrink-augmentation"/>
    <w:p>
      <w:pPr>
        <w:pStyle w:val="Heading2"/>
      </w:pPr>
      <w:r>
        <w:t xml:space="preserve">Shrink Augmentation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 Shrink augmentation compresses the variation inside each window.</w:t>
      </w:r>
      <w:r>
        <w:t xml:space="preserve"> </w:t>
      </w:r>
      <w:r>
        <w:t xml:space="preserve">- This produces smoother versions of the original pattern and can help the model become robust to amplitude changes.</w:t>
      </w:r>
    </w:p>
    <w:p>
      <w:pPr>
        <w:pStyle w:val="BodyText"/>
      </w:pPr>
      <w:r>
        <w:t xml:space="preserve">Didactic goal: compare milder synthetic windows with the original observations and with other augmentation schemes.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augmentation - shrink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augment/doc/05-shrink-augmentation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 representation used by the later transformations and models.</w:t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</w:p>
    <w:p>
      <w:pPr>
        <w:pStyle w:val="FirstParagraph"/>
      </w:pPr>
      <w:r>
        <w:t xml:space="preserve">Now we augmentation (shrink).</w:t>
      </w:r>
    </w:p>
    <w:p>
      <w:pPr>
        <w:pStyle w:val="SourceCode"/>
      </w:pPr>
      <w:r>
        <w:rPr>
          <w:rStyle w:val="CommentTok"/>
        </w:rPr>
        <w:t xml:space="preserve"># Augmentation (shrink)</w:t>
      </w:r>
      <w:r>
        <w:br/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ts_aug_shrink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xa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(xa,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(xa)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 t1 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 0.9092974 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 0.7780732 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 0.5984721  0.3816610</w:t>
      </w:r>
      <w:r>
        <w:br/>
      </w:r>
      <w:r>
        <w:rPr>
          <w:rStyle w:val="VerbatimChar"/>
        </w:rPr>
        <w:t xml:space="preserve">## [4,] 0.6816388 0.8414710 0.9489846 0.9974950 0.9839859 0.9092974 0.7780732 0.5984721  0.3816610  0.1411200</w:t>
      </w:r>
      <w:r>
        <w:br/>
      </w:r>
      <w:r>
        <w:rPr>
          <w:rStyle w:val="VerbatimChar"/>
        </w:rPr>
        <w:t xml:space="preserve">## [5,] 0.8414710 0.9489846 0.9974950 0.9839859 0.9092974 0.7780732 0.5984721 0.3816610  0.1411200 -0.1081951</w:t>
      </w:r>
      <w:r>
        <w:br/>
      </w:r>
      <w:r>
        <w:rPr>
          <w:rStyle w:val="VerbatimChar"/>
        </w:rPr>
        <w:t xml:space="preserve">## [6,] 0.9489846 0.9974950 0.9839859 0.9092974 0.7780732 0.5984721 0.3816610 0.1411200 -0.1081951 -0.3507832</w:t>
      </w:r>
    </w:p>
    <w:p>
      <w:pPr>
        <w:pStyle w:val="FirstParagraph"/>
      </w:pPr>
      <w:r>
        <w:t xml:space="preserve">This plot overlays the original and augmented windows so you can see how the transformation changes the local shape.</w:t>
      </w:r>
    </w:p>
    <w:p>
      <w:pPr>
        <w:pStyle w:val="SourceCode"/>
      </w:pPr>
      <w:r>
        <w:rPr>
          <w:rStyle w:val="CommentTok"/>
        </w:rPr>
        <w:t xml:space="preserve"># Plot a few representative windows on the lag axis</w:t>
      </w:r>
      <w:r>
        <w:br/>
      </w:r>
      <w:r>
        <w:rPr>
          <w:rStyle w:val="NormalTok"/>
        </w:rPr>
        <w:t xml:space="preserve">aug_rows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(xa),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(aug_rows,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(row_id) {</w:t>
      </w:r>
      <w:r>
        <w:br/>
      </w:r>
      <w:r>
        <w:rPr>
          <w:rStyle w:val="NormalTok"/>
        </w:rPr>
        <w:t xml:space="preserve">    source_row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idx[row_id]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(sw_size),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(xw[source_row,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NormalTok"/>
        </w:rPr>
        <w:t xml:space="preserve">, source_row)),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(sw_size),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(xa[row_id,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"augmented"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NormalTok"/>
        </w:rPr>
        <w:t xml:space="preserve">, source_row))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(comparison,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series))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sample,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augment/doc/05-shrink-augmentation_files/22a835117396661f8adf50d138f35ccda20db62b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H. I. Fawaz, G. Forestier, J. Weber, L. Idoumghar, and P.-A. Muller (2019). Deep learning for time series classification: A review. Data Mining and Knowledge Discovery, 33, 917–963.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2026-05-20T02:11:08Z</dcterms:created>
  <dcterms:modified xsi:type="dcterms:W3CDTF">2026-05-20T02:11:08Z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