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lag-mapping"/>
    <w:p>
      <w:pPr>
        <w:pStyle w:val="Heading2"/>
      </w:pPr>
      <w:r>
        <w:t xml:space="preserve">PACF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</w:t>
      </w:r>
      <w:r>
        <w:t xml:space="preserve"> </w:t>
      </w:r>
      <w:r>
        <w:t xml:space="preserve">ranks lag candidates by absolute partial autocorrelation.</w:t>
      </w:r>
      <w:r>
        <w:t xml:space="preserve"> </w:t>
      </w:r>
      <w:r>
        <w:t xml:space="preserve">- It is often more selective than ACF because it tries to discount correlations already explained by intermediate lags.</w:t>
      </w:r>
    </w:p>
    <w:p>
      <w:pPr>
        <w:pStyle w:val="BodyText"/>
      </w:pPr>
      <w:r>
        <w:t xml:space="preserve">Didactic goal: highlight direct linear contributions of candidate lags after accounting for shorter dependencies.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5-pacf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2026-05-20T02:12:02Z</dcterms:created>
  <dcterms:modified xsi:type="dcterms:W3CDTF">2026-05-20T02:12:02Z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