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p>
      <w:pPr>
        <w:pStyle w:val="BodyText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models, the lag mapper is fitted after preprocessing. So if a</w:t>
      </w:r>
      <w:r>
        <w:t xml:space="preserve"> </w:t>
      </w:r>
      <w:r>
        <w:t xml:space="preserve">preprocessor changes the window representation, the selected lag positions refer</w:t>
      </w:r>
      <w:r>
        <w:t xml:space="preserve"> </w:t>
      </w:r>
      <w:r>
        <w:t xml:space="preserve">to that transformed geometry rather than to the raw original window.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2026-05-20T02:12:12Z</dcterms:created>
  <dcterms:modified xsi:type="dcterms:W3CDTF">2026-05-20T02:12:12Z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