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2b650c08b8fea8821e0b0f13237dd793cbb466"/>
    <w:p>
      <w:pPr>
        <w:pStyle w:val="Heading2"/>
      </w:pPr>
      <w:r>
        <w:t xml:space="preserve">Stock Closing-Price Forecasting with KNN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continues the stock-closing-price scenario from the previous notebook.</w:t>
      </w:r>
      <w:r>
        <w:t xml:space="preserve"> </w:t>
      </w:r>
      <w:r>
        <w:t xml:space="preserve">- The multivariate setting is kept fixed,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.</w:t>
      </w:r>
    </w:p>
    <w:p>
      <w:pPr>
        <w:pStyle w:val="BodyText"/>
      </w:pPr>
      <w:r>
        <w:t xml:space="preserve">Didactic goal: inspect how the KNN regressor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KNN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scenario, but for a faster didactic run we retain only</w:t>
      </w:r>
      <w:r>
        <w:t xml:space="preserve"> </w:t>
      </w:r>
      <w:r>
        <w:t xml:space="preserve">the last two years of valid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(ticker)</w:t>
      </w:r>
    </w:p>
    <w:p>
      <w:pPr>
        <w:pStyle w:val="SourceCode"/>
      </w:pPr>
      <w:r>
        <w:rPr>
          <w:rStyle w:val="VerbatimChar"/>
        </w:rPr>
        <w:t xml:space="preserve">## [1] 498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From this point on, the stock examples follow the same experimental line:</w:t>
      </w:r>
    </w:p>
    <w:p>
      <w:pPr>
        <w:pStyle w:val="Compact"/>
        <w:numPr>
          <w:ilvl w:val="0"/>
          <w:numId w:val="1001"/>
        </w:numPr>
      </w:pPr>
      <w:r>
        <w:t xml:space="preserve">keep the same dataset, split, and window size</w:t>
      </w:r>
    </w:p>
    <w:p>
      <w:pPr>
        <w:pStyle w:val="Compact"/>
        <w:numPr>
          <w:ilvl w:val="0"/>
          <w:numId w:val="1001"/>
        </w:numPr>
      </w:pPr>
      <w:r>
        <w:t xml:space="preserve">change only the learner family</w:t>
      </w:r>
    </w:p>
    <w:p>
      <w:pPr>
        <w:pStyle w:val="Compact"/>
        <w:numPr>
          <w:ilvl w:val="0"/>
          <w:numId w:val="1001"/>
        </w:numPr>
      </w:pPr>
      <w:r>
        <w:t xml:space="preserve">use the same learner family for the target and for all endogenous auxiliaries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pred_1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pred_5</w:t>
      </w:r>
      <w:r>
        <w:t xml:space="preserve">, the synchronized forecast table, the target plot,</w:t>
      </w:r>
      <w:r>
        <w:t xml:space="preserve"> </w:t>
      </w:r>
      <w:r>
        <w:t xml:space="preserve">and the target metrics</w:t>
      </w:r>
    </w:p>
    <w:p>
      <w:pPr>
        <w:pStyle w:val="FirstParagraph"/>
      </w:pPr>
      <w:r>
        <w:t xml:space="preserve">To keep the example easier to understand, the endogenous auxiliary variables use</w:t>
      </w:r>
      <w:r>
        <w:t xml:space="preserve"> </w:t>
      </w:r>
      <w:r>
        <w:t xml:space="preserve">the same model family as the target learner. Only the variable roles change.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85.51667 85.51667 85.51667 85.51667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 86.03 86.03 86.03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 87.75 87.75 87.75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 84.95000 84.95000 84.95000 84.95000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 18097367 19815867 20675567 20406133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6.295635 0.02349538 -1.980523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1-stock-close-knn-regression_files/15465108fe96c52c8d64527c262fd775cd044a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2026-05-20T02:12:24Z</dcterms:created>
  <dcterms:modified xsi:type="dcterms:W3CDTF">2026-05-20T02:12:24Z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