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m3</w:t>
      </w:r>
      <w:r>
        <w:t xml:space="preserve">, the third Makridakis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nested-list structure keyed by frequency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m3</w:t>
      </w:r>
    </w:p>
    <w:p>
      <w:pPr>
        <w:pStyle w:val="Compact"/>
        <w:numPr>
          <w:ilvl w:val="0"/>
          <w:numId w:val="1001"/>
        </w:numPr>
      </w:pPr>
      <w:r>
        <w:t xml:space="preserve">inspect the available frequency groups</w:t>
      </w:r>
    </w:p>
    <w:p>
      <w:pPr>
        <w:pStyle w:val="Compact"/>
        <w:numPr>
          <w:ilvl w:val="0"/>
          <w:numId w:val="1001"/>
        </w:numPr>
      </w:pPr>
      <w:r>
        <w:t xml:space="preserve">preview one representative series</w:t>
      </w:r>
    </w:p>
    <w:p>
      <w:pPr>
        <w:pStyle w:val="Compact"/>
        <w:numPr>
          <w:ilvl w:val="0"/>
          <w:numId w:val="1001"/>
        </w:numPr>
      </w:pPr>
      <w:r>
        <w:t xml:space="preserve">plot a sample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(m3)</w:t>
      </w:r>
      <w:r>
        <w:br/>
      </w:r>
      <w:r>
        <w:rPr>
          <w:rStyle w:val="NormalTok"/>
        </w:rPr>
        <w:t xml:space="preserve">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(m3)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m3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m3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"Frequency groups:"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(m3),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Frequency groups: monthly, other, quarterly, yearly</w:t>
      </w:r>
    </w:p>
    <w:p>
      <w:pPr>
        <w:pStyle w:val="SourceCode"/>
      </w:pPr>
      <w:r>
        <w:rPr>
          <w:rStyle w:val="NormalTok"/>
        </w:rPr>
        <w:t xml:space="preserve">first_group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(m3)[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(m3[[first_group]])[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m3[[first_group]][[first_name]]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[1] 2640 2640 2160 4200 3360 2400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"m3"</w:t>
      </w:r>
      <w:r>
        <w:rPr>
          <w:rStyle w:val="NormalTok"/>
        </w:rPr>
        <w:t xml:space="preserve">, first_group, first_name))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8-m3_files/067271fd5453cf07388a4705ceefd72e6777752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Makridakis and Hibon (2000). The M3-Competition: Results, conclusions and implications.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2026-07-08T22:16:48Z</dcterms:created>
  <dcterms:modified xsi:type="dcterms:W3CDTF">2026-07-08T22:16:48Z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