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6.768766 0.02329364 -2.204515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recursive predictions for the endogenous auxiliary variables are also</w:t>
      </w:r>
      <w:r>
        <w:t xml:space="preserve"> </w:t>
      </w:r>
      <w:r>
        <w:t xml:space="preserve">attached to that target-centered return object.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$volume</w:t>
      </w:r>
      <w:r>
        <w:br/>
      </w:r>
      <w:r>
        <w:rPr>
          <w:rStyle w:val="VerbatimChar"/>
        </w:rPr>
        <w:t xml:space="preserve">## [1] 33076060 33506772 34513366 33013400 31279800</w:t>
      </w:r>
    </w:p>
    <w:p>
      <w:pPr>
        <w:pStyle w:val="FirstParagraph"/>
      </w:pPr>
      <w:r>
        <w:t xml:space="preserve">The synchronized multivariate forecast remains attached as a tabular attribute</w:t>
      </w:r>
      <w:r>
        <w:t xml:space="preserve"> </w:t>
      </w:r>
      <w:r>
        <w:t xml:space="preserve">of the same 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0-stock-close-regression_files/d0f6c66a06a1df5adcbb60d2ea0f6dbfc0a27e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6.768766 0.02329364 -2.204515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 The prediction object is still target-centered, but it preserves the endogenous auxiliary forecasts through</w:t>
      </w:r>
      <w:r>
        <w:t xml:space="preserve"> </w:t>
      </w:r>
      <w:r>
        <w:rPr>
          <w:rStyle w:val="VerbatimChar"/>
        </w:rPr>
        <w:t xml:space="preserve">attr(pred, "prediction_x")</w:t>
      </w:r>
      <w:r>
        <w:t xml:space="preserve"> </w:t>
      </w:r>
      <w:r>
        <w:t xml:space="preserve">and the full synchronized forecast through</w:t>
      </w:r>
      <w:r>
        <w:t xml:space="preserve"> </w:t>
      </w:r>
      <w:r>
        <w:rPr>
          <w:rStyle w:val="VerbatimChar"/>
        </w:rPr>
        <w:t xml:space="preserve">attr(pred, "system")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2026-07-08T22:17:36Z</dcterms:created>
  <dcterms:modified xsi:type="dcterms:W3CDTF">2026-07-08T22:17:36Z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