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4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9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16-stock-close-torch-ts-mlp-regression.md</w:t>
        </w:r>
      </w:hyperlink>
      <w:r>
        <w:t xml:space="preserve"> </w:t>
      </w:r>
      <w:r>
        <w:t xml:space="preserve">- keep the stock scenario fixed and use a PyTorch MLP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18-stock-close-lstm-regression.md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9"/>
    <w:bookmarkStart w:id="33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21-stock-close-vector-autoregression-mv.md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torch-ts-mlp-regression.md" TargetMode="External" /><Relationship Type="http://schemas.openxmlformats.org/officeDocument/2006/relationships/hyperlink" Id="rId27" Target="17-stock-close-conv1d-regression.md" TargetMode="External" /><Relationship Type="http://schemas.openxmlformats.org/officeDocument/2006/relationships/hyperlink" Id="rId28" Target="18-stock-close-lstm-regression.md" TargetMode="External" /><Relationship Type="http://schemas.openxmlformats.org/officeDocument/2006/relationships/hyperlink" Id="rId30" Target="19-stock-close-linear-regression-mv.md" TargetMode="External" /><Relationship Type="http://schemas.openxmlformats.org/officeDocument/2006/relationships/hyperlink" Id="rId31" Target="20-stock-close-arimax-regression-mv.md" TargetMode="External" /><Relationship Type="http://schemas.openxmlformats.org/officeDocument/2006/relationships/hyperlink" Id="rId32" Target="21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2026-07-08T22:18:06Z</dcterms:created>
  <dcterms:modified xsi:type="dcterms:W3CDTF">2026-07-08T22:18:06Z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