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differencing-normalization"/>
    <w:p>
      <w:pPr>
        <w:pStyle w:val="Heading2"/>
      </w:pPr>
      <w:r>
        <w:t xml:space="preserve">Differencing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Differencing replaces each value by its change relative to the previous observation.</w:t>
      </w:r>
    </w:p>
    <w:p>
      <w:pPr>
        <w:pStyle w:val="Compact"/>
        <w:numPr>
          <w:ilvl w:val="0"/>
          <w:numId w:val="1001"/>
        </w:numPr>
      </w:pPr>
      <w:r>
        <w:t xml:space="preserve">This reduces trend effects and often makes the series easier to scale and model.</w:t>
      </w:r>
    </w:p>
    <w:p>
      <w:pPr>
        <w:pStyle w:val="Compact"/>
        <w:numPr>
          <w:ilvl w:val="0"/>
          <w:numId w:val="1001"/>
        </w:numPr>
      </w:pPr>
      <w:r>
        <w:t xml:space="preserve">In sliding-window form, the transformation shortens the window by one column because consecutive differences are taken across the full supervised window.</w:t>
      </w:r>
    </w:p>
    <w:p>
      <w:pPr>
        <w:pStyle w:val="FirstParagraph"/>
      </w:pPr>
      <w:r>
        <w:t xml:space="preserve">Didactic goal: see how stabilization by differencing changes both the level and the interpretation of the series.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Normalization by Differences (Diff)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4-differencing-normaliz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differencing-based normalization and compare the supervised target</w:t>
      </w:r>
      <w:r>
        <w:t xml:space="preserve"> </w:t>
      </w:r>
      <w:r>
        <w:t xml:space="preserve">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t8        t7        t6        t5        t4        t3        t2        t1         t0</w:t>
      </w:r>
      <w:r>
        <w:br/>
      </w:r>
      <w:r>
        <w:rPr>
          <w:rStyle w:val="VerbatimChar"/>
        </w:rPr>
        <w:t xml:space="preserve">## [1,] 0.9982009 0.9672887 0.9073861 0.8222178 0.7170790 0.5985067 0.4738732 0.3509276 0.23731412</w:t>
      </w:r>
      <w:r>
        <w:br/>
      </w:r>
      <w:r>
        <w:rPr>
          <w:rStyle w:val="VerbatimChar"/>
        </w:rPr>
        <w:t xml:space="preserve">## [2,] 0.9672887 0.9073861 0.8222178 0.7170790 0.5985067 0.4738732 0.3509276 0.2373141 0.14009662</w:t>
      </w:r>
      <w:r>
        <w:br/>
      </w:r>
      <w:r>
        <w:rPr>
          <w:rStyle w:val="VerbatimChar"/>
        </w:rPr>
        <w:t xml:space="preserve">## [3,] 0.9073861 0.8222178 0.7170790 0.5985067 0.4738732 0.3509276 0.2373141 0.1400966 0.06531964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</w:t>
      </w:r>
      <w:r>
        <w:br/>
      </w:r>
      <w:r>
        <w:rPr>
          <w:rStyle w:val="VerbatimChar"/>
        </w:rPr>
        <w:t xml:space="preserve">##  Min.   :0.00000  </w:t>
      </w:r>
      <w:r>
        <w:br/>
      </w:r>
      <w:r>
        <w:rPr>
          <w:rStyle w:val="VerbatimChar"/>
        </w:rPr>
        <w:t xml:space="preserve">##  1st Qu.:0.06333  </w:t>
      </w:r>
      <w:r>
        <w:br/>
      </w:r>
      <w:r>
        <w:rPr>
          <w:rStyle w:val="VerbatimChar"/>
        </w:rPr>
        <w:t xml:space="preserve">##  Median :0.29337  </w:t>
      </w:r>
      <w:r>
        <w:br/>
      </w:r>
      <w:r>
        <w:rPr>
          <w:rStyle w:val="VerbatimChar"/>
        </w:rPr>
        <w:t xml:space="preserve">##  Mean   :0.40975  </w:t>
      </w:r>
      <w:r>
        <w:br/>
      </w:r>
      <w:r>
        <w:rPr>
          <w:rStyle w:val="VerbatimChar"/>
        </w:rPr>
        <w:t xml:space="preserve">##  3rd Qu.:0.75129  </w:t>
      </w:r>
      <w:r>
        <w:br/>
      </w:r>
      <w:r>
        <w:rPr>
          <w:rStyle w:val="VerbatimChar"/>
        </w:rPr>
        <w:t xml:space="preserve">##  Max.   :1.00000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4-differencing-normalization_files/7accbf99b3dd509ceaba8a8dfb15245bf92cd5f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target now represents local variation rather than absolute level.</w:t>
      </w:r>
    </w:p>
    <w:p>
      <w:pPr>
        <w:pStyle w:val="Compact"/>
        <w:numPr>
          <w:ilvl w:val="0"/>
          <w:numId w:val="1002"/>
        </w:numPr>
      </w:pPr>
      <w:r>
        <w:t xml:space="preserve">This is useful when trend reduction matters more than preserving the original scale.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G. E. P. Box, G. M. Jenkins, G. C. Reinsel, and G. M. Ljung (2015). Time Series Analysis: Forecasting and Control. Wiley.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2026-07-08T22:18:10Z</dcterms:created>
  <dcterms:modified xsi:type="dcterms:W3CDTF">2026-07-08T22:18:10Z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