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ven-lag-mapping"/>
    <w:p>
      <w:pPr>
        <w:pStyle w:val="Heading2"/>
      </w:pPr>
      <w:r>
        <w:t xml:space="preserve">Even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spreads the selected lags approximately uniformly across the available window.</w:t>
      </w:r>
      <w:r>
        <w:t xml:space="preserve"> </w:t>
      </w:r>
      <w:r>
        <w:t xml:space="preserve">- It is useful when a compact predictor should still cover short, medium, and longer horizons.</w:t>
      </w:r>
    </w:p>
    <w:p>
      <w:pPr>
        <w:pStyle w:val="BodyText"/>
      </w:pPr>
      <w:r>
        <w:t xml:space="preserve">Didactic goal: contrast uniform coverage of the input window against the purely recent baseline.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Even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2-even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4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"t4"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2026-05-22T16:26:41Z</dcterms:created>
  <dcterms:modified xsi:type="dcterms:W3CDTF">2026-05-22T16:26:41Z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