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rget-centered-vector-autoregression"/>
    <w:p>
      <w:pPr>
        <w:pStyle w:val="Heading2"/>
      </w:pPr>
      <w:r>
        <w:t xml:space="preserve">Target-Centered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jointly.</w:t>
      </w:r>
      <w:r>
        <w:t xml:space="preserve"> </w:t>
      </w:r>
      <w:r>
        <w:t xml:space="preserve">- Even so,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variable of interest and returns its forecast by default.</w:t>
      </w:r>
    </w:p>
    <w:p>
      <w:pPr>
        <w:pStyle w:val="BodyText"/>
      </w:pPr>
      <w:r>
        <w:t xml:space="preserve">Didactic goal: show how a system model can coexist with a target-centered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vector autoregression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aligned multivariate system as in the previous singular</w:t>
      </w:r>
      <w:r>
        <w:t xml:space="preserve"> </w:t>
      </w:r>
      <w:r>
        <w:t xml:space="preserve">examples, so the only change is the model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is fitted on the whole aligned system. Here, the</w:t>
      </w:r>
      <w:r>
        <w:t xml:space="preserve"> </w:t>
      </w:r>
      <w:r>
        <w:t xml:space="preserve">target remains</w:t>
      </w:r>
      <w:r>
        <w:t xml:space="preserve"> </w:t>
      </w:r>
      <w:r>
        <w:rPr>
          <w:rStyle w:val="VerbatimChar"/>
        </w:rPr>
        <w:t xml:space="preserve">y</w:t>
      </w:r>
      <w:r>
        <w:t xml:space="preserve">, but the system forecast includes</w:t>
      </w:r>
      <w:r>
        <w:t xml:space="preserve"> </w:t>
      </w:r>
      <w:r>
        <w:rPr>
          <w:rStyle w:val="VerbatimChar"/>
        </w:rPr>
        <w:t xml:space="preserve">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as well.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0.4121185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0.4121185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0.17388949 -0.07515112 -0.31951919 -0.54402111 -0.73469843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</w:p>
    <w:p>
      <w:pPr>
        <w:pStyle w:val="FirstParagraph"/>
      </w:pPr>
      <w:r>
        <w:t xml:space="preserve">The target can still be evaluated exactly as in the target-centered models.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1.960019e-30 4.3389e-15 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jointly, not just one regression equation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  <w:r>
        <w:t xml:space="preserve"> </w:t>
      </w:r>
      <w:r>
        <w:t xml:space="preserve">- Even in that systemic setting,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interface can keep a distinguished target variable.</w:t>
      </w:r>
      <w:r>
        <w:t xml:space="preserve"> </w:t>
      </w:r>
      <w:r>
        <w:t xml:space="preserve">- The target forecast is returned directly, while the full system forecast remains available as an attribute of that vector.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2026-05-22T16:27:02Z</dcterms:created>
  <dcterms:modified xsi:type="dcterms:W3CDTF">2026-05-22T16:27:02Z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