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Xff0a812b1c79220dd791bb3ddab8e5b9d9773a8"/>
    <w:p>
      <w:pPr>
        <w:pStyle w:val="Heading2"/>
      </w:pPr>
      <w:r>
        <w:t xml:space="preserve">Stock Closing-Price Forecasting with Random Forest as Target Learner</w:t>
      </w:r>
    </w:p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 This example keeps the same stock-closing-price scenario, but now the target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is forecast with</w:t>
      </w:r>
      <w:r>
        <w:t xml:space="preserve"> </w:t>
      </w:r>
      <w:r>
        <w:rPr>
          <w:rStyle w:val="VerbatimChar"/>
        </w:rPr>
        <w:t xml:space="preserve">ts_rf()</w:t>
      </w:r>
      <w:r>
        <w:t xml:space="preserve">.</w:t>
      </w:r>
    </w:p>
    <w:p>
      <w:pPr>
        <w:pStyle w:val="BodyText"/>
      </w:pPr>
      <w:r>
        <w:t xml:space="preserve">Didactic goal: inspect how a random forest behaves as the target learner inside the target-centered multivariate workflow.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Stock closing-price forecasting with Random Forest as target learner</w:t>
      </w:r>
      <w:r>
        <w:br/>
      </w:r>
      <w:r>
        <w:br/>
      </w:r>
      <w:r>
        <w:rPr>
          <w:rStyle w:val="CommentTok"/>
        </w:rPr>
        <w:t xml:space="preserve"># Installing packages (if needed)</w:t>
      </w:r>
      <w:r>
        <w:br/>
      </w:r>
      <w:r>
        <w:rPr>
          <w:rStyle w:val="CommentTok"/>
        </w:rPr>
        <w:t xml:space="preserve"># install.packages("tspredit")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(stocks)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(stocks, </w:t>
      </w:r>
      <w:r>
        <w:rPr>
          <w:rStyle w:val="StringTok"/>
        </w:rPr>
        <w:t xml:space="preserve">"url"</w:t>
      </w:r>
      <w:r>
        <w:rPr>
          <w:rStyle w:val="NormalTok"/>
        </w:rPr>
        <w:t xml:space="preserve">))) {</w:t>
      </w:r>
      <w:r>
        <w:br/>
      </w:r>
      <w:r>
        <w:rPr>
          <w:rStyle w:val="NormalTok"/>
        </w:rPr>
        <w:t xml:space="preserve">  stocks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(stocks)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ticker_name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"VALE3"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(stocks)) </w:t>
      </w:r>
      <w:r>
        <w:rPr>
          <w:rStyle w:val="StringTok"/>
        </w:rPr>
        <w:t xml:space="preserve">"VALE3"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(stocks)[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ticker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stocks[[ticker_name]]</w:t>
      </w:r>
      <w:r>
        <w:br/>
      </w:r>
      <w:r>
        <w:rPr>
          <w:rStyle w:val="NormalTok"/>
        </w:rPr>
        <w:t xml:space="preserve">ticker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ticker[,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"open"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"close"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"volume"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ticker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na.omit</w:t>
      </w:r>
      <w:r>
        <w:rPr>
          <w:rStyle w:val="NormalTok"/>
        </w:rPr>
        <w:t xml:space="preserve">(ticker)</w:t>
      </w:r>
      <w:r>
        <w:br/>
      </w:r>
      <w:r>
        <w:rPr>
          <w:rStyle w:val="NormalTok"/>
        </w:rPr>
        <w:t xml:space="preserve">ticker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subset</w:t>
      </w:r>
      <w:r>
        <w:rPr>
          <w:rStyle w:val="NormalTok"/>
        </w:rPr>
        <w:t xml:space="preserve">(ticker, open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high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low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volume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cutoff_date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(ticker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date)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365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ticker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ticker[ticker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cutoff_date, ]</w:t>
      </w:r>
      <w:r>
        <w:br/>
      </w:r>
      <w:r>
        <w:br/>
      </w:r>
      <w:r>
        <w:rPr>
          <w:rStyle w:val="NormalTok"/>
        </w:rPr>
        <w:t xml:space="preserve">mv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ts_data_mv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ticker[,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"open"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"close"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"volume"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"close"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"open"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"volume"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(mv,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tail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close,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ts_regsw_mv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model_y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ts_mv_spec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ts_rf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nodesize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ntree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variables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"close"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"open"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models_x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open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ts_mv_spec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ts_rf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nodesize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ntree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variables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"open"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"close"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high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ts_mv_spec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ts_rf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nodesize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ntree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variables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"close"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"open"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ts_mv_spec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ts_rf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nodesize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ntree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variables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"close"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"open"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volume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ts_mv_spec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ts_rf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nodesize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ntree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variables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"volume"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"close"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"open"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window_size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pred_1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steps_ahead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pred_1</w:t>
      </w:r>
    </w:p>
    <w:p>
      <w:pPr>
        <w:pStyle w:val="SourceCode"/>
      </w:pPr>
      <w:r>
        <w:rPr>
          <w:rStyle w:val="VerbatimChar"/>
        </w:rPr>
        <w:t xml:space="preserve">## [1] 86.3301</w:t>
      </w:r>
      <w:r>
        <w:br/>
      </w:r>
      <w:r>
        <w:rPr>
          <w:rStyle w:val="VerbatimChar"/>
        </w:rPr>
        <w:t xml:space="preserve">## attr(,"y_name")</w:t>
      </w:r>
      <w:r>
        <w:br/>
      </w:r>
      <w:r>
        <w:rPr>
          <w:rStyle w:val="VerbatimChar"/>
        </w:rPr>
        <w:t xml:space="preserve">## [1] "close"</w:t>
      </w:r>
      <w:r>
        <w:br/>
      </w:r>
      <w:r>
        <w:rPr>
          <w:rStyle w:val="VerbatimChar"/>
        </w:rPr>
        <w:t xml:space="preserve">## attr(,"x_names")</w:t>
      </w:r>
      <w:r>
        <w:br/>
      </w:r>
      <w:r>
        <w:rPr>
          <w:rStyle w:val="VerbatimChar"/>
        </w:rPr>
        <w:t xml:space="preserve">## [1] "open"   "high"   "low"    "volume"</w:t>
      </w:r>
      <w:r>
        <w:br/>
      </w:r>
      <w:r>
        <w:rPr>
          <w:rStyle w:val="VerbatimChar"/>
        </w:rPr>
        <w:t xml:space="preserve">## attr(,"variables")</w:t>
      </w:r>
      <w:r>
        <w:br/>
      </w:r>
      <w:r>
        <w:rPr>
          <w:rStyle w:val="VerbatimChar"/>
        </w:rPr>
        <w:t xml:space="preserve">## [1] "close"  "open"   "high"   "low"    "volume"</w:t>
      </w:r>
      <w:r>
        <w:br/>
      </w:r>
      <w:r>
        <w:rPr>
          <w:rStyle w:val="VerbatimChar"/>
        </w:rPr>
        <w:t xml:space="preserve">## attr(,"steps_ahead")</w:t>
      </w:r>
      <w:r>
        <w:br/>
      </w:r>
      <w:r>
        <w:rPr>
          <w:rStyle w:val="VerbatimChar"/>
        </w:rPr>
        <w:t xml:space="preserve">## [1] 1</w:t>
      </w:r>
      <w:r>
        <w:br/>
      </w:r>
      <w:r>
        <w:rPr>
          <w:rStyle w:val="VerbatimChar"/>
        </w:rPr>
        <w:t xml:space="preserve">## attr(,"prediction_x")</w:t>
      </w:r>
      <w:r>
        <w:br/>
      </w:r>
      <w:r>
        <w:rPr>
          <w:rStyle w:val="VerbatimChar"/>
        </w:rPr>
        <w:t xml:space="preserve">## attr(,"prediction_x")$open</w:t>
      </w:r>
      <w:r>
        <w:br/>
      </w:r>
      <w:r>
        <w:rPr>
          <w:rStyle w:val="VerbatimChar"/>
        </w:rPr>
        <w:t xml:space="preserve">## [1] 86.3875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attr(,"prediction_x")$high</w:t>
      </w:r>
      <w:r>
        <w:br/>
      </w:r>
      <w:r>
        <w:rPr>
          <w:rStyle w:val="VerbatimChar"/>
        </w:rPr>
        <w:t xml:space="preserve">## [1] 87.8604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attr(,"prediction_x")$low</w:t>
      </w:r>
      <w:r>
        <w:br/>
      </w:r>
      <w:r>
        <w:rPr>
          <w:rStyle w:val="VerbatimChar"/>
        </w:rPr>
        <w:t xml:space="preserve">## [1] 85.3674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attr(,"prediction_x")$volume</w:t>
      </w:r>
      <w:r>
        <w:br/>
      </w:r>
      <w:r>
        <w:rPr>
          <w:rStyle w:val="VerbatimChar"/>
        </w:rPr>
        <w:t xml:space="preserve">## [1] 33311755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attr(,"system")</w:t>
      </w:r>
      <w:r>
        <w:br/>
      </w:r>
      <w:r>
        <w:rPr>
          <w:rStyle w:val="VerbatimChar"/>
        </w:rPr>
        <w:t xml:space="preserve">##     close    open    high     low   volume</w:t>
      </w:r>
      <w:r>
        <w:br/>
      </w:r>
      <w:r>
        <w:rPr>
          <w:rStyle w:val="VerbatimChar"/>
        </w:rPr>
        <w:t xml:space="preserve">## 1 86.3301 86.3875 87.8604 85.3674 33311755</w:t>
      </w:r>
      <w:r>
        <w:br/>
      </w:r>
      <w:r>
        <w:rPr>
          <w:rStyle w:val="VerbatimChar"/>
        </w:rPr>
        <w:t xml:space="preserve">## attr(,"class")</w:t>
      </w:r>
      <w:r>
        <w:br/>
      </w:r>
      <w:r>
        <w:rPr>
          <w:rStyle w:val="VerbatimChar"/>
        </w:rPr>
        <w:t xml:space="preserve">## [1] "ts_mv_prediction" "numeric"</w:t>
      </w:r>
    </w:p>
    <w:p>
      <w:pPr>
        <w:pStyle w:val="SourceCode"/>
      </w:pPr>
      <w:r>
        <w:rPr>
          <w:rStyle w:val="NormalTok"/>
        </w:rPr>
        <w:t xml:space="preserve">pred_5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steps_ahead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pred_5</w:t>
      </w:r>
    </w:p>
    <w:p>
      <w:pPr>
        <w:pStyle w:val="SourceCode"/>
      </w:pPr>
      <w:r>
        <w:rPr>
          <w:rStyle w:val="VerbatimChar"/>
        </w:rPr>
        <w:t xml:space="preserve">## [1] 86.3301 86.0448 85.4388 85.7633 85.9880</w:t>
      </w:r>
      <w:r>
        <w:br/>
      </w:r>
      <w:r>
        <w:rPr>
          <w:rStyle w:val="VerbatimChar"/>
        </w:rPr>
        <w:t xml:space="preserve">## attr(,"y_name")</w:t>
      </w:r>
      <w:r>
        <w:br/>
      </w:r>
      <w:r>
        <w:rPr>
          <w:rStyle w:val="VerbatimChar"/>
        </w:rPr>
        <w:t xml:space="preserve">## [1] "close"</w:t>
      </w:r>
      <w:r>
        <w:br/>
      </w:r>
      <w:r>
        <w:rPr>
          <w:rStyle w:val="VerbatimChar"/>
        </w:rPr>
        <w:t xml:space="preserve">## attr(,"x_names")</w:t>
      </w:r>
      <w:r>
        <w:br/>
      </w:r>
      <w:r>
        <w:rPr>
          <w:rStyle w:val="VerbatimChar"/>
        </w:rPr>
        <w:t xml:space="preserve">## [1] "open"   "high"   "low"    "volume"</w:t>
      </w:r>
      <w:r>
        <w:br/>
      </w:r>
      <w:r>
        <w:rPr>
          <w:rStyle w:val="VerbatimChar"/>
        </w:rPr>
        <w:t xml:space="preserve">## attr(,"variables")</w:t>
      </w:r>
      <w:r>
        <w:br/>
      </w:r>
      <w:r>
        <w:rPr>
          <w:rStyle w:val="VerbatimChar"/>
        </w:rPr>
        <w:t xml:space="preserve">## [1] "close"  "open"   "high"   "low"    "volume"</w:t>
      </w:r>
      <w:r>
        <w:br/>
      </w:r>
      <w:r>
        <w:rPr>
          <w:rStyle w:val="VerbatimChar"/>
        </w:rPr>
        <w:t xml:space="preserve">## attr(,"steps_ahead")</w:t>
      </w:r>
      <w:r>
        <w:br/>
      </w:r>
      <w:r>
        <w:rPr>
          <w:rStyle w:val="VerbatimChar"/>
        </w:rPr>
        <w:t xml:space="preserve">## [1] 5</w:t>
      </w:r>
      <w:r>
        <w:br/>
      </w:r>
      <w:r>
        <w:rPr>
          <w:rStyle w:val="VerbatimChar"/>
        </w:rPr>
        <w:t xml:space="preserve">## attr(,"prediction_x")</w:t>
      </w:r>
      <w:r>
        <w:br/>
      </w:r>
      <w:r>
        <w:rPr>
          <w:rStyle w:val="VerbatimChar"/>
        </w:rPr>
        <w:t xml:space="preserve">## attr(,"prediction_x")$open</w:t>
      </w:r>
      <w:r>
        <w:br/>
      </w:r>
      <w:r>
        <w:rPr>
          <w:rStyle w:val="VerbatimChar"/>
        </w:rPr>
        <w:t xml:space="preserve">## [1] 86.3875 86.6744 86.0593 86.3069 86.6225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attr(,"prediction_x")$high</w:t>
      </w:r>
      <w:r>
        <w:br/>
      </w:r>
      <w:r>
        <w:rPr>
          <w:rStyle w:val="VerbatimChar"/>
        </w:rPr>
        <w:t xml:space="preserve">## [1] 87.8604 87.9481 87.4504 87.5042 87.8782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attr(,"prediction_x")$low</w:t>
      </w:r>
      <w:r>
        <w:br/>
      </w:r>
      <w:r>
        <w:rPr>
          <w:rStyle w:val="VerbatimChar"/>
        </w:rPr>
        <w:t xml:space="preserve">## [1] 85.3674 85.5644 84.9202 85.2543 85.4405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attr(,"prediction_x")$volume</w:t>
      </w:r>
      <w:r>
        <w:br/>
      </w:r>
      <w:r>
        <w:rPr>
          <w:rStyle w:val="VerbatimChar"/>
        </w:rPr>
        <w:t xml:space="preserve">## [1] 33311755 39028010 36387377 32137987 33762048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attr(,"system")</w:t>
      </w:r>
      <w:r>
        <w:br/>
      </w:r>
      <w:r>
        <w:rPr>
          <w:rStyle w:val="VerbatimChar"/>
        </w:rPr>
        <w:t xml:space="preserve">##     close    open    high     low   volume</w:t>
      </w:r>
      <w:r>
        <w:br/>
      </w:r>
      <w:r>
        <w:rPr>
          <w:rStyle w:val="VerbatimChar"/>
        </w:rPr>
        <w:t xml:space="preserve">## 1 86.3301 86.3875 87.8604 85.3674 33311755</w:t>
      </w:r>
      <w:r>
        <w:br/>
      </w:r>
      <w:r>
        <w:rPr>
          <w:rStyle w:val="VerbatimChar"/>
        </w:rPr>
        <w:t xml:space="preserve">## 2 86.0448 86.6744 87.9481 85.5644 39028010</w:t>
      </w:r>
      <w:r>
        <w:br/>
      </w:r>
      <w:r>
        <w:rPr>
          <w:rStyle w:val="VerbatimChar"/>
        </w:rPr>
        <w:t xml:space="preserve">## 3 85.4388 86.0593 87.4504 84.9202 36387377</w:t>
      </w:r>
      <w:r>
        <w:br/>
      </w:r>
      <w:r>
        <w:rPr>
          <w:rStyle w:val="VerbatimChar"/>
        </w:rPr>
        <w:t xml:space="preserve">## 4 85.7633 86.3069 87.5042 85.2543 32137987</w:t>
      </w:r>
      <w:r>
        <w:br/>
      </w:r>
      <w:r>
        <w:rPr>
          <w:rStyle w:val="VerbatimChar"/>
        </w:rPr>
        <w:t xml:space="preserve">## 5 85.9880 86.6225 87.8782 85.4405 33762048</w:t>
      </w:r>
      <w:r>
        <w:br/>
      </w:r>
      <w:r>
        <w:rPr>
          <w:rStyle w:val="VerbatimChar"/>
        </w:rPr>
        <w:t xml:space="preserve">## attr(,"class")</w:t>
      </w:r>
      <w:r>
        <w:br/>
      </w:r>
      <w:r>
        <w:rPr>
          <w:rStyle w:val="VerbatimChar"/>
        </w:rPr>
        <w:t xml:space="preserve">## [1] "ts_mv_prediction" "numeric"</w:t>
      </w:r>
    </w:p>
    <w:p>
      <w:pPr>
        <w:pStyle w:val="SourceCode"/>
      </w:pPr>
      <w:r>
        <w:rPr>
          <w:rStyle w:val="FunctionTok"/>
        </w:rPr>
        <w:t xml:space="preserve">attr</w:t>
      </w:r>
      <w:r>
        <w:rPr>
          <w:rStyle w:val="NormalTok"/>
        </w:rPr>
        <w:t xml:space="preserve">(pred_5, </w:t>
      </w:r>
      <w:r>
        <w:rPr>
          <w:rStyle w:val="StringTok"/>
        </w:rPr>
        <w:t xml:space="preserve">"system"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close    open    high     low   volume</w:t>
      </w:r>
      <w:r>
        <w:br/>
      </w:r>
      <w:r>
        <w:rPr>
          <w:rStyle w:val="VerbatimChar"/>
        </w:rPr>
        <w:t xml:space="preserve">## 1 86.3301 86.3875 87.8604 85.3674 33311755</w:t>
      </w:r>
      <w:r>
        <w:br/>
      </w:r>
      <w:r>
        <w:rPr>
          <w:rStyle w:val="VerbatimChar"/>
        </w:rPr>
        <w:t xml:space="preserve">## 2 86.0448 86.6744 87.9481 85.5644 39028010</w:t>
      </w:r>
      <w:r>
        <w:br/>
      </w:r>
      <w:r>
        <w:rPr>
          <w:rStyle w:val="VerbatimChar"/>
        </w:rPr>
        <w:t xml:space="preserve">## 3 85.4388 86.0593 87.4504 84.9202 36387377</w:t>
      </w:r>
      <w:r>
        <w:br/>
      </w:r>
      <w:r>
        <w:rPr>
          <w:rStyle w:val="VerbatimChar"/>
        </w:rPr>
        <w:t xml:space="preserve">## 4 85.7633 86.3069 87.5042 85.2543 32137987</w:t>
      </w:r>
      <w:r>
        <w:br/>
      </w:r>
      <w:r>
        <w:rPr>
          <w:rStyle w:val="VerbatimChar"/>
        </w:rPr>
        <w:t xml:space="preserve">## 5 85.9880 86.6225 87.8782 85.4405 33762048</w:t>
      </w:r>
    </w:p>
    <w:p>
      <w:pPr>
        <w:pStyle w:val="SourceCode"/>
      </w:pPr>
      <w:r>
        <w:rPr>
          <w:rStyle w:val="NormalTok"/>
        </w:rPr>
        <w:t xml:space="preserve">ev_test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output, pred_5)</w:t>
      </w:r>
      <w:r>
        <w:br/>
      </w:r>
      <w:r>
        <w:rPr>
          <w:rStyle w:val="NormalTok"/>
        </w:rPr>
        <w:t xml:space="preserve">ev_test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    mse      smape        R2</w:t>
      </w:r>
      <w:r>
        <w:br/>
      </w:r>
      <w:r>
        <w:rPr>
          <w:rStyle w:val="VerbatimChar"/>
        </w:rPr>
        <w:t xml:space="preserve">## 1 4.264516 0.01950095 -1.018936</w:t>
      </w:r>
    </w:p>
    <w:p>
      <w:pPr>
        <w:pStyle w:val="SourceCode"/>
      </w:pPr>
      <w:r>
        <w:rPr>
          <w:rStyle w:val="FunctionTok"/>
        </w:rPr>
        <w:t xml:space="preserve">plot_ts_pred_mv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train, 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test, pred_5, </w:t>
      </w:r>
      <w:r>
        <w:rPr>
          <w:rStyle w:val="AttributeTok"/>
        </w:rPr>
        <w:t xml:space="preserve">variable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"close"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tspredit/examples/multivariate/doc/13-stock-close-random-forest-regression_files/b81e7ff6bc4d558f8c8871e142170c67a7272619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What this example shows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ts_rf()</w:t>
      </w:r>
      <w:r>
        <w:t xml:space="preserve"> </w:t>
      </w:r>
      <w:r>
        <w:t xml:space="preserve">can be reused directly as the target learner inside</w:t>
      </w:r>
      <w:r>
        <w:t xml:space="preserve"> </w:t>
      </w:r>
      <w:r>
        <w:rPr>
          <w:rStyle w:val="VerbatimChar"/>
        </w:rPr>
        <w:t xml:space="preserve">ts_regsw_mv()</w:t>
      </w:r>
      <w:r>
        <w:t xml:space="preserve">.</w:t>
      </w:r>
      <w:r>
        <w:t xml:space="preserve"> </w:t>
      </w:r>
      <w:r>
        <w:t xml:space="preserve">- The same learner family can be reused for the target and for all endogenous auxiliaries when the goal is a cleaner didactic comparison.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2026-05-22T16:27:17Z</dcterms:created>
  <dcterms:modified xsi:type="dcterms:W3CDTF">2026-05-22T16:27:17Z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