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nonlinear contrast is computed over the same complete window that reaches the downstream model.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0.1889821 0.3112798 0.4165162 0.4975591 0.5545796 0.5897382 0.6048267 0.6006714 0.5770424 0.5326703</w:t>
      </w:r>
      <w:r>
        <w:br/>
      </w:r>
      <w:r>
        <w:rPr>
          <w:rStyle w:val="VerbatimChar"/>
        </w:rPr>
        <w:t xml:space="preserve">## [2,] 0.2930737 0.3961639 0.4759068 0.5321998 0.5669808 0.5819227 0.5778068 0.5544154 0.5105525 0.4442920</w:t>
      </w:r>
      <w:r>
        <w:br/>
      </w:r>
      <w:r>
        <w:rPr>
          <w:rStyle w:val="VerbatimChar"/>
        </w:rPr>
        <w:t xml:space="preserve">## [3,] 0.3917985 0.4712439 0.5273694 0.5620632 0.5769710 0.5728644 0.5495279 0.5057825 0.4397384 0.3499586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:0.00567  </w:t>
      </w:r>
      <w:r>
        <w:br/>
      </w:r>
      <w:r>
        <w:rPr>
          <w:rStyle w:val="VerbatimChar"/>
        </w:rPr>
        <w:t xml:space="preserve">##  1st Qu.:0.15484  </w:t>
      </w:r>
      <w:r>
        <w:br/>
      </w:r>
      <w:r>
        <w:rPr>
          <w:rStyle w:val="VerbatimChar"/>
        </w:rPr>
        <w:t xml:space="preserve">##  Median :0.43082  </w:t>
      </w:r>
      <w:r>
        <w:br/>
      </w:r>
      <w:r>
        <w:rPr>
          <w:rStyle w:val="VerbatimChar"/>
        </w:rPr>
        <w:t xml:space="preserve">##  Mean   :0.44802  </w:t>
      </w:r>
      <w:r>
        <w:br/>
      </w:r>
      <w:r>
        <w:rPr>
          <w:rStyle w:val="VerbatimChar"/>
        </w:rPr>
        <w:t xml:space="preserve">##  3rd Qu.:0.69932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009f8e4ac40c989fdfea67d22bbfc645307067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2026-05-22T16:27:51Z</dcterms:created>
  <dcterms:modified xsi:type="dcterms:W3CDTF">2026-05-22T16:27:51Z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