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l-tuning"/>
    <w:p>
      <w:pPr>
        <w:pStyle w:val="Heading2"/>
      </w:pPr>
      <w:r>
        <w:t xml:space="preserve">Model Tuning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Tuning searches over hyperparameters such as input size and learner-specific settings.</w:t>
      </w:r>
      <w:r>
        <w:t xml:space="preserve"> </w:t>
      </w:r>
      <w:r>
        <w:t xml:space="preserve">- In forecasting, this matters because the best model often depends as much on representation choices as on the learner family itself.</w:t>
      </w:r>
    </w:p>
    <w:p>
      <w:pPr>
        <w:pStyle w:val="BodyText"/>
      </w:pPr>
      <w:r>
        <w:t xml:space="preserve">Didactic goal: show how hyperparameter search can be added without changing the rest of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Cosine series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Plot the series</w:t>
      </w:r>
      <w:r>
        <w:br/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0-model-tuning_files/930d10275f88e3c385cfcc5ea8beb23b554ce20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rPr>
          <w:rStyle w:val="CommentTok"/>
        </w:rPr>
        <w:t xml:space="preserve"># Create a matrix of windows (t9..t0) from the series for training.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sampling (train and test) split the data into train and test.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rPr>
          <w:rStyle w:val="CommentTok"/>
        </w:rPr>
        <w:t xml:space="preserve"># Split the data into train and test.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hyperparameter tuning ts_tune optimizes base model hyperparameters. in this example, we use elm with ranges for nhid and activation function.</w:t>
      </w:r>
    </w:p>
    <w:p>
      <w:pPr>
        <w:pStyle w:val="SourceCode"/>
      </w:pPr>
      <w:r>
        <w:rPr>
          <w:rStyle w:val="CommentTok"/>
        </w:rPr>
        <w:t xml:space="preserve"># Hyperparameter tuning</w:t>
      </w:r>
      <w:r>
        <w:br/>
      </w:r>
      <w:r>
        <w:rPr>
          <w:rStyle w:val="CommentTok"/>
        </w:rPr>
        <w:t xml:space="preserve"># ts_tune optimizes base model hyperparameters.</w:t>
      </w:r>
      <w:r>
        <w:br/>
      </w:r>
      <w:r>
        <w:rPr>
          <w:rStyle w:val="CommentTok"/>
        </w:rPr>
        <w:t xml:space="preserve"># In this example, we use ELM with ranges for nhid and activation function.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train projection and fit the best model.</w:t>
      </w:r>
    </w:p>
    <w:p>
      <w:pPr>
        <w:pStyle w:val="SourceCode"/>
      </w:pPr>
      <w:r>
        <w:rPr>
          <w:rStyle w:val="CommentTok"/>
        </w:rPr>
        <w:t xml:space="preserve"># Train projection and fit the best model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CommentTok"/>
        </w:rPr>
        <w:t xml:space="preserve"># Generic fit of the chosen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4.686814e-30 5.77268e-15  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8.985619e-30 3.024207e-15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0-model-tuning_files/7ecf102672f282e2c89a9306ee58fe3eccbe72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options of hyperparameter ranges by model ranges for elm.</w:t>
      </w:r>
    </w:p>
    <w:p>
      <w:pPr>
        <w:pStyle w:val="SourceCode"/>
      </w:pPr>
      <w:r>
        <w:rPr>
          <w:rStyle w:val="CommentTok"/>
        </w:rPr>
        <w:t xml:space="preserve"># Options of hyperparameter ranges by model</w:t>
      </w:r>
      <w:r>
        <w:br/>
      </w:r>
      <w:r>
        <w:br/>
      </w:r>
      <w:r>
        <w:rPr>
          <w:rStyle w:val="CommentTok"/>
        </w:rPr>
        <w:t xml:space="preserve"># Ranges for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Ranges for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Ranges for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ranges are meant as practical starting points rather than exhaustive searches: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ELM</w:t>
      </w:r>
      <w:r>
        <w:t xml:space="preserve">, hidden sizes up to about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are already enough to show the effect of model capacity in this small example;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MLP</w:t>
      </w:r>
      <w:r>
        <w:t xml:space="preserve">, a coarse decay grid is usually more useful than sweeping every value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RF</w:t>
      </w:r>
      <w:r>
        <w:t xml:space="preserve">, very small forests tend to be unstable in recursive forecasting, so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should usually start at</w:t>
      </w:r>
      <w:r>
        <w:t xml:space="preserve"> </w:t>
      </w:r>
      <w:r>
        <w:rPr>
          <w:rStyle w:val="VerbatimChar"/>
        </w:rPr>
        <w:t xml:space="preserve">50</w:t>
      </w:r>
      <w:r>
        <w:t xml:space="preserve"> </w:t>
      </w:r>
      <w:r>
        <w:t xml:space="preserve">or more;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SVM</w:t>
      </w:r>
      <w:r>
        <w:t xml:space="preserve">, the kernel name must be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"poly"</w:t>
      </w:r>
      <w:r>
        <w:t xml:space="preserve">, and it is safer to search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 first;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, short epoch grids are more realistic for tutorials than huge values like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here because this example tunes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never exceed the number of lagged attributes used by the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J. Bergstra and Y. Bengio (2012). Random search for hyper-parameter optimization. Journal of Machine Learning Research, 13, 281–305.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2026-05-22T16:28:24Z</dcterms:created>
  <dcterms:modified xsi:type="dcterms:W3CDTF">2026-05-22T16:28:24Z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