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Flip: Mirrors each window around its local mean (or another central tendency), creating symmetric counterparts of patterns. This expands variability while preserving general energy and timing.</w:t>
      </w:r>
    </w:p>
    <w:p>
      <w:pPr>
        <w:pStyle w:val="BodyText"/>
      </w:pPr>
      <w:r>
        <w:t xml:space="preserve">Objective: Demonstrate flip augmentation (mirror windows around the mean), generating symmetric variations of local patterns.</w:t>
      </w:r>
    </w:p>
    <w:p>
      <w:pPr>
        <w:pStyle w:val="SourceCode"/>
      </w:pPr>
      <w:r>
        <w:rPr>
          <w:rStyle w:val="CommentTok"/>
        </w:rPr>
        <w:t xml:space="preserve"># Time series augmentation - flip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augment/ts_aug_flip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</w:p>
    <w:p>
      <w:pPr>
        <w:pStyle w:val="SourceCode"/>
      </w:pPr>
      <w:r>
        <w:rPr>
          <w:rStyle w:val="CommentTok"/>
        </w:rPr>
        <w:t xml:space="preserve"># Augmentation (flip)</w:t>
      </w:r>
      <w:r>
        <w:br/>
      </w:r>
      <w:r>
        <w:br/>
      </w:r>
      <w:r>
        <w:rPr>
          <w:rStyle w:val="NormalTok"/>
        </w:rPr>
        <w:t xml:space="preserve">augment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ts_aug_flip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augment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(augment, xw)</w:t>
      </w:r>
      <w:r>
        <w:br/>
      </w:r>
      <w:r>
        <w:rPr>
          <w:rStyle w:val="NormalTok"/>
        </w:rPr>
        <w:t xml:space="preserve">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(augment, xw)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(xa,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(xa)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 t1</w:t>
      </w:r>
      <w:r>
        <w:br/>
      </w:r>
      <w:r>
        <w:rPr>
          <w:rStyle w:val="VerbatimChar"/>
        </w:rPr>
        <w:t xml:space="preserve">## [1,] 0.0000000 0.2474040 0.4794255 0.6816388 0.8414710 0.9489846 0.9974950 0.9839859  0.9092974</w:t>
      </w:r>
      <w:r>
        <w:br/>
      </w:r>
      <w:r>
        <w:rPr>
          <w:rStyle w:val="VerbatimChar"/>
        </w:rPr>
        <w:t xml:space="preserve">## [2,] 0.2474040 0.4794255 0.6816388 0.8414710 0.9489846 0.9974950 0.9839859 0.9092974  0.7780732</w:t>
      </w:r>
      <w:r>
        <w:br/>
      </w:r>
      <w:r>
        <w:rPr>
          <w:rStyle w:val="VerbatimChar"/>
        </w:rPr>
        <w:t xml:space="preserve">## [3,] 0.4794255 0.6816388 0.8414710 0.9489846 0.9974950 0.9839859 0.9092974 0.7780732  0.5984721</w:t>
      </w:r>
      <w:r>
        <w:br/>
      </w:r>
      <w:r>
        <w:rPr>
          <w:rStyle w:val="VerbatimChar"/>
        </w:rPr>
        <w:t xml:space="preserve">## [4,] 0.6816388 0.8414710 0.9489846 0.9974950 0.9839859 0.9092974 0.7780732 0.5984721  0.3816610</w:t>
      </w:r>
      <w:r>
        <w:br/>
      </w:r>
      <w:r>
        <w:rPr>
          <w:rStyle w:val="VerbatimChar"/>
        </w:rPr>
        <w:t xml:space="preserve">## [5,] 0.8414710 0.9489846 0.9974950 0.9839859 0.9092974 0.7780732 0.5984721 0.3816610  0.1411200</w:t>
      </w:r>
      <w:r>
        <w:br/>
      </w:r>
      <w:r>
        <w:rPr>
          <w:rStyle w:val="VerbatimChar"/>
        </w:rPr>
        <w:t xml:space="preserve">## [6,] 0.9489846 0.9974950 0.9839859 0.9092974 0.7780732 0.5984721 0.3816610 0.1411200 -0.1081951</w:t>
      </w:r>
      <w:r>
        <w:br/>
      </w:r>
      <w:r>
        <w:rPr>
          <w:rStyle w:val="VerbatimChar"/>
        </w:rPr>
        <w:t xml:space="preserve">##              t0</w:t>
      </w:r>
      <w:r>
        <w:br/>
      </w:r>
      <w:r>
        <w:rPr>
          <w:rStyle w:val="VerbatimChar"/>
        </w:rPr>
        <w:t xml:space="preserve">## [1,]  0.7780732</w:t>
      </w:r>
      <w:r>
        <w:br/>
      </w:r>
      <w:r>
        <w:rPr>
          <w:rStyle w:val="VerbatimChar"/>
        </w:rPr>
        <w:t xml:space="preserve">## [2,]  0.5984721</w:t>
      </w:r>
      <w:r>
        <w:br/>
      </w:r>
      <w:r>
        <w:rPr>
          <w:rStyle w:val="VerbatimChar"/>
        </w:rPr>
        <w:t xml:space="preserve">## [3,]  0.3816610</w:t>
      </w:r>
      <w:r>
        <w:br/>
      </w:r>
      <w:r>
        <w:rPr>
          <w:rStyle w:val="VerbatimChar"/>
        </w:rPr>
        <w:t xml:space="preserve">## [4,]  0.1411200</w:t>
      </w:r>
      <w:r>
        <w:br/>
      </w:r>
      <w:r>
        <w:rPr>
          <w:rStyle w:val="VerbatimChar"/>
        </w:rPr>
        <w:t xml:space="preserve">## [5,] -0.1081951</w:t>
      </w:r>
      <w:r>
        <w:br/>
      </w:r>
      <w:r>
        <w:rPr>
          <w:rStyle w:val="VerbatimChar"/>
        </w:rPr>
        <w:t xml:space="preserve">## [6,] -0.3507832</w:t>
      </w:r>
    </w:p>
    <w:p>
      <w:pPr>
        <w:pStyle w:val="SourceCode"/>
      </w:pPr>
      <w:r>
        <w:rPr>
          <w:rStyle w:val="CommentTok"/>
        </w:rPr>
        <w:t xml:space="preserve"># Plot (original vs augmented windows)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(xw)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xw[,sw_size]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(idx[j]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sw_size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idx[j],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xa[j,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sw_size],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augment/ts_aug_flip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H. I. Fawaz, G. Forestier, J. Weber, L. Idoumghar, and P.-A. Muller (2019). Deep learning for time series classification: A review. Data Mining and Knowledge Discovery, 33, 917–963.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2025-10-29T16:13:01Z</dcterms:created>
  <dcterms:modified xsi:type="dcterms:W3CDTF">2025-10-29T16:13:01Z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