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augmentation: The identity augmentation passes windows through unchanged. Use it to benchmark the incremental benefit of augmentation strategies.</w:t>
      </w:r>
    </w:p>
    <w:p>
      <w:pPr>
        <w:pStyle w:val="BodyText"/>
      </w:pPr>
      <w:r>
        <w:t xml:space="preserve">Objective: Demonstrate a no-augmentation flow (no changes), keeping the interface and indices for comparisons.</w:t>
      </w:r>
    </w:p>
    <w:p>
      <w:pPr>
        <w:pStyle w:val="SourceCode"/>
      </w:pPr>
      <w:r>
        <w:rPr>
          <w:rStyle w:val="CommentTok"/>
        </w:rPr>
        <w:t xml:space="preserve"># Time series augmentation - none (identity)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non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(none)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</w:t>
      </w:r>
      <w:r>
        <w:br/>
      </w:r>
      <w:r>
        <w:rPr>
          <w:rStyle w:val="VerbatimChar"/>
        </w:rPr>
        <w:t xml:space="preserve">##              t0</w:t>
      </w:r>
      <w:r>
        <w:br/>
      </w:r>
      <w:r>
        <w:rPr>
          <w:rStyle w:val="VerbatimChar"/>
        </w:rPr>
        <w:t xml:space="preserve">## [1,]  0.7780732</w:t>
      </w:r>
      <w:r>
        <w:br/>
      </w:r>
      <w:r>
        <w:rPr>
          <w:rStyle w:val="VerbatimChar"/>
        </w:rPr>
        <w:t xml:space="preserve">## [2,]  0.5984721</w:t>
      </w:r>
      <w:r>
        <w:br/>
      </w:r>
      <w:r>
        <w:rPr>
          <w:rStyle w:val="VerbatimChar"/>
        </w:rPr>
        <w:t xml:space="preserve">## [3,]  0.3816610</w:t>
      </w:r>
      <w:r>
        <w:br/>
      </w:r>
      <w:r>
        <w:rPr>
          <w:rStyle w:val="VerbatimChar"/>
        </w:rPr>
        <w:t xml:space="preserve">## [4,]  0.1411200</w:t>
      </w:r>
      <w:r>
        <w:br/>
      </w:r>
      <w:r>
        <w:rPr>
          <w:rStyle w:val="VerbatimChar"/>
        </w:rPr>
        <w:t xml:space="preserve">## [5,] -0.1081951</w:t>
      </w:r>
      <w:r>
        <w:br/>
      </w:r>
      <w:r>
        <w:rPr>
          <w:rStyle w:val="VerbatimChar"/>
        </w:rPr>
        <w:t xml:space="preserve">## [6,]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non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H. I. Fawaz, G. Forestier, J. Weber, L. Idoumghar, and P.-A. Muller (2019). Deep learning for time series classification: A review. Data Mining and Knowledge Discovery, 33, 917–963.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2025-10-29T16:13:14Z</dcterms:created>
  <dcterms:modified xsi:type="dcterms:W3CDTF">2025-10-29T16:13:14Z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