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Stretch: Scales deviations from the local mean by a factor greater than 1, amplifying intra‑window variability while preserving overall shape and timing. This challenges models to generalize across larger amplitude variations.</w:t>
      </w:r>
    </w:p>
    <w:p>
      <w:pPr>
        <w:pStyle w:val="BodyText"/>
      </w:pPr>
      <w:r>
        <w:t xml:space="preserve">Objective: Augment data by stretching variations within the window (stretch), useful to make the model more robust to variability.</w:t>
      </w:r>
    </w:p>
    <w:p>
      <w:pPr>
        <w:pStyle w:val="SourceCode"/>
      </w:pPr>
      <w:r>
        <w:rPr>
          <w:rStyle w:val="CommentTok"/>
        </w:rPr>
        <w:t xml:space="preserve"># Time series augmentation - stretch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tretc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(stretch)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ts_aug_stretch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  <w:r>
        <w:br/>
      </w:r>
      <w:r>
        <w:rPr>
          <w:rStyle w:val="VerbatimChar"/>
        </w:rPr>
        <w:t xml:space="preserve">## [6,]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tretch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2025-10-29T16:13:26Z</dcterms:created>
  <dcterms:modified xsi:type="dcterms:W3CDTF">2025-10-29T16:13:26Z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