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no-augmentation"/>
    <w:p>
      <w:pPr>
        <w:pStyle w:val="Heading2"/>
      </w:pPr>
      <w:r>
        <w:t xml:space="preserve">No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ts_aug_none()</w:t>
      </w:r>
      <w:r>
        <w:t xml:space="preserve"> </w:t>
      </w:r>
      <w:r>
        <w:t xml:space="preserve">leaves the training windows unchanged.</w:t>
      </w:r>
      <w:r>
        <w:t xml:space="preserve"> </w:t>
      </w:r>
      <w:r>
        <w:t xml:space="preserve">- Its value is methodological: it gives you the baseline needed to judge whether synthetic windows are actually helping the predictor.</w:t>
      </w:r>
    </w:p>
    <w:p>
      <w:pPr>
        <w:pStyle w:val="BodyText"/>
      </w:pPr>
      <w:r>
        <w:t xml:space="preserve">Didactic goal: establish the reference case before testing any augmentation strategy.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none (identity)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augment/doc/01-no-augment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(none).</w:t>
      </w:r>
    </w:p>
    <w:p>
      <w:pPr>
        <w:pStyle w:val="SourceCode"/>
      </w:pPr>
      <w:r>
        <w:rPr>
          <w:rStyle w:val="CommentTok"/>
        </w:rPr>
        <w:t xml:space="preserve"># Augmentation (none)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ts_aug_none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a few representative windows on the lag axis</w:t>
      </w:r>
      <w:r>
        <w:br/>
      </w:r>
      <w:r>
        <w:rPr>
          <w:rStyle w:val="NormalTok"/>
        </w:rPr>
        <w:t xml:space="preserve">compare_rows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(compare_rows,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(row_id) {</w:t>
      </w:r>
      <w:r>
        <w:br/>
      </w:r>
      <w:r>
        <w:rPr>
          <w:rStyle w:val="NormalTok"/>
        </w:rPr>
        <w:t xml:space="preserve">    source_row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idx[row_id]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(xw[source_row,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(xa[row_id,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"augmented"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augment/doc/01-no-augmentation_files/568a88b675b1f6904794ccfbbda81dff6b251edb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2026-05-20T01:14:47Z</dcterms:created>
  <dcterms:modified xsi:type="dcterms:W3CDTF">2026-05-20T01:14:47Z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