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m3</w:t>
      </w:r>
      <w:r>
        <w:t xml:space="preserve">, the third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m3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(m3)</w:t>
      </w:r>
      <w:r>
        <w:br/>
      </w:r>
      <w:r>
        <w:rPr>
          <w:rStyle w:val="NormalTok"/>
        </w:rPr>
        <w:t xml:space="preserve">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(m3)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monthly, other, quarterly,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(m3[[first_group]])[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m3[[first_group]][[first_name]]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2640 2640 2160 4200 3360 2400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"m3"</w:t>
      </w:r>
      <w:r>
        <w:rPr>
          <w:rStyle w:val="NormalTok"/>
        </w:rPr>
        <w:t xml:space="preserve">, first_group, first_name))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8-m3_files/067271fd5453cf07388a4705ceefd72e6777752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and Hibon (2000). The M3-Competition: Results, conclusions and implications.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2026-05-20T01:15:15Z</dcterms:created>
  <dcterms:modified xsi:type="dcterms:W3CDTF">2026-05-20T01:15:15Z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