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asonal-lag-mapping"/>
    <w:p>
      <w:pPr>
        <w:pStyle w:val="Heading2"/>
      </w:pPr>
      <w:r>
        <w:t xml:space="preserve">Seasonal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seasonal</w:t>
      </w:r>
      <w:r>
        <w:t xml:space="preserve"> </w:t>
      </w:r>
      <w:r>
        <w:t xml:space="preserve">prioritizes lags that are multiples of an estimated or specified seasonal period.</w:t>
      </w:r>
      <w:r>
        <w:t xml:space="preserve"> </w:t>
      </w:r>
      <w:r>
        <w:t xml:space="preserve">- When fewer seasonal lags are available than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, the remaining positions are completed with recent lags.</w:t>
      </w:r>
    </w:p>
    <w:p>
      <w:pPr>
        <w:pStyle w:val="BodyText"/>
      </w:pPr>
      <w:r>
        <w:t xml:space="preserve">Didactic goal: expose the seasonal prior explicitly in the lag-selection stage.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Seasonal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07-seasonal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8 4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"t8" "t4"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2026-05-20T01:15:45Z</dcterms:created>
  <dcterms:modified xsi:type="dcterms:W3CDTF">2026-05-20T01:15:45Z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