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locks-lag-mapping"/>
    <w:p>
      <w:pPr>
        <w:pStyle w:val="Heading2"/>
      </w:pPr>
      <w:r>
        <w:t xml:space="preserve">Blocks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detects strong correlation centers and expands them into small neighborhoods.</w:t>
      </w:r>
      <w:r>
        <w:t xml:space="preserve"> </w:t>
      </w:r>
      <w:r>
        <w:t xml:space="preserve">- It is useful when the relevant dependency is not a single lag, but a short region around a dominant timescale.</w:t>
      </w:r>
    </w:p>
    <w:p>
      <w:pPr>
        <w:pStyle w:val="BodyText"/>
      </w:pPr>
      <w:r>
        <w:t xml:space="preserve">Didactic goal: select contiguous lag neighborhoods around important correlation landmarks.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Blocks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0-blocks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2026-05-20T01:15:49Z</dcterms:created>
  <dcterms:modified xsi:type="dcterms:W3CDTF">2026-05-20T01:15:49Z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