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nn-regression"/>
    <w:p>
      <w:pPr>
        <w:pStyle w:val="Heading2"/>
      </w:pPr>
      <w:r>
        <w:t xml:space="preserve">KNN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KNN forecasting searches for past windows that look similar to the current one and predicts from their targets.</w:t>
      </w:r>
      <w:r>
        <w:t xml:space="preserve"> </w:t>
      </w:r>
      <w:r>
        <w:t xml:space="preserve">- It is a local, nonparametric baseline that is easy to interpret and useful for comparing distance-based behavior.</w:t>
      </w:r>
    </w:p>
    <w:p>
      <w:pPr>
        <w:pStyle w:val="BodyText"/>
      </w:pPr>
      <w:r>
        <w:t xml:space="preserve">Didactic goal: understand how sliding-window similarity alone can support forecasting.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KNN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2-knn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knn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KNN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0.00169231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2-knn-regression_files/f13d1a7db88e4466db90d933d56e9cf80a10084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Cover and P. Hart (1967). Nearest neighbor pattern classification. IEEE Transactions on Information Theory, 13(1), 21–27.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2026-05-20T01:16:40Z</dcterms:created>
  <dcterms:modified xsi:type="dcterms:W3CDTF">2026-05-20T01:16:40Z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