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m1</w:t>
      </w:r>
      <w:r>
        <w:t xml:space="preserve">, the first Makridakis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nested-list structure keyed by frequency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m1</w:t>
      </w:r>
    </w:p>
    <w:p>
      <w:pPr>
        <w:pStyle w:val="Compact"/>
        <w:numPr>
          <w:ilvl w:val="0"/>
          <w:numId w:val="1001"/>
        </w:numPr>
      </w:pPr>
      <w:r>
        <w:t xml:space="preserve">inspect the available frequency groups</w:t>
      </w:r>
    </w:p>
    <w:p>
      <w:pPr>
        <w:pStyle w:val="Compact"/>
        <w:numPr>
          <w:ilvl w:val="0"/>
          <w:numId w:val="1001"/>
        </w:numPr>
      </w:pPr>
      <w:r>
        <w:t xml:space="preserve">preview one representative series</w:t>
      </w:r>
    </w:p>
    <w:p>
      <w:pPr>
        <w:pStyle w:val="Compact"/>
        <w:numPr>
          <w:ilvl w:val="0"/>
          <w:numId w:val="1001"/>
        </w:numPr>
      </w:pPr>
      <w:r>
        <w:t xml:space="preserve">plot a sample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(m1)</w:t>
      </w:r>
      <w:r>
        <w:br/>
      </w:r>
      <w:r>
        <w:rPr>
          <w:rStyle w:val="NormalTok"/>
        </w:rPr>
        <w:t xml:space="preserve">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(m1)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m1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"Frequency groups:"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(m1),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Frequency groups: monthly, quarterly, yearly</w:t>
      </w:r>
    </w:p>
    <w:p>
      <w:pPr>
        <w:pStyle w:val="SourceCode"/>
      </w:pPr>
      <w:r>
        <w:rPr>
          <w:rStyle w:val="NormalTok"/>
        </w:rPr>
        <w:t xml:space="preserve">first_group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m1[[first_group]][[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[1] 697458.00   4742.66   1656.32    987.63      0.52     15.25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"m1"</w:t>
      </w:r>
      <w:r>
        <w:rPr>
          <w:rStyle w:val="NormalTok"/>
        </w:rPr>
        <w:t xml:space="preserve">, first_group))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17-m1_files/bfffdbcb70baa1f778f9301294e1a8adc66ca66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Makridakis et al. (1982). The accuracy of extrapolation methods: Results of a forecasting competition.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2026-05-18T16:27:50Z</dcterms:created>
  <dcterms:modified xsi:type="dcterms:W3CDTF">2026-05-18T16:27:50Z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